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1ECF" w:rsidRDefault="00831ECF" w:rsidP="005F49A2">
      <w:pPr>
        <w:spacing w:line="288" w:lineRule="auto"/>
      </w:pPr>
    </w:p>
    <w:p w:rsidR="00831ECF" w:rsidRPr="00AE35C1" w:rsidRDefault="00E6670D" w:rsidP="005F49A2">
      <w:pPr>
        <w:spacing w:line="288" w:lineRule="auto"/>
        <w:rPr>
          <w:rFonts w:ascii="Calibri Light" w:eastAsia="Times New Roman" w:hAnsi="Calibri Light"/>
          <w:caps/>
          <w:color w:val="4E67C8"/>
          <w:szCs w:val="36"/>
          <w:lang w:eastAsia="pl-PL"/>
        </w:rPr>
      </w:pPr>
      <w:r w:rsidRPr="00E6670D">
        <w:rPr>
          <w:noProof/>
          <w:lang w:eastAsia="pl-PL"/>
        </w:rPr>
        <w:pict>
          <v:shapetype id="_x0000_t202" coordsize="21600,21600" o:spt="202" path="m,l,21600r21600,l21600,xe">
            <v:stroke joinstyle="miter"/>
            <v:path gradientshapeok="t" o:connecttype="rect"/>
          </v:shapetype>
          <v:shape id="Pole tekstowe 131" o:spid="_x0000_s1026" type="#_x0000_t202" style="position:absolute;margin-left:105.8pt;margin-top:454.65pt;width:419pt;height:204.2pt;z-index:251651072;visibility:visible;mso-height-percent:350;mso-wrap-distance-left:14.4pt;mso-wrap-distance-right:14.4pt;mso-position-horizontal-relative:page;mso-position-vertical-relative:page;mso-height-percent:35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" filled="f" stroked="f" strokeweight=".5pt">
            <v:path arrowok="t"/>
            <v:textbox style="mso-fit-shape-to-text:t" inset="0,0,0,0">
              <w:txbxContent>
                <w:p w:rsidR="006B79DC" w:rsidRPr="00FD0968" w:rsidRDefault="006B79DC">
                  <w:pPr>
                    <w:pStyle w:val="Bezodstpw"/>
                    <w:spacing w:before="40" w:after="560" w:line="216" w:lineRule="auto"/>
                    <w:rPr>
                      <w:rFonts w:ascii="Cambria" w:hAnsi="Cambria"/>
                      <w:b/>
                      <w:bCs/>
                      <w:color w:val="365F91"/>
                      <w:sz w:val="72"/>
                      <w:szCs w:val="72"/>
                      <w:lang w:eastAsia="en-US"/>
                    </w:rPr>
                  </w:pPr>
                  <w:r w:rsidRPr="00FD0968">
                    <w:rPr>
                      <w:rFonts w:ascii="Cambria" w:hAnsi="Cambria"/>
                      <w:b/>
                      <w:bCs/>
                      <w:color w:val="365F91"/>
                      <w:sz w:val="72"/>
                      <w:szCs w:val="72"/>
                      <w:lang w:eastAsia="en-US"/>
                    </w:rPr>
                    <w:t>STRATEGIA ROZWOJU WOJEWÓDZTWA DOLNOŚLĄSKIEGO 2030</w:t>
                  </w:r>
                </w:p>
                <w:p w:rsidR="006B79DC" w:rsidRPr="00FD0968" w:rsidRDefault="006B79DC">
                  <w:pPr>
                    <w:pStyle w:val="Bezodstpw"/>
                    <w:spacing w:before="40" w:after="40"/>
                    <w:rPr>
                      <w:rFonts w:cs="Calibri"/>
                      <w:caps/>
                      <w:color w:val="808080"/>
                      <w:sz w:val="28"/>
                      <w:szCs w:val="28"/>
                    </w:rPr>
                  </w:pPr>
                  <w:r>
                    <w:rPr>
                      <w:rFonts w:cs="Calibri"/>
                      <w:caps/>
                      <w:color w:val="808080"/>
                      <w:sz w:val="28"/>
                      <w:szCs w:val="28"/>
                    </w:rPr>
                    <w:t>PROJEKT</w:t>
                  </w:r>
                </w:p>
                <w:p w:rsidR="006B79DC" w:rsidRPr="00FD0968" w:rsidRDefault="006B79DC">
                  <w:pPr>
                    <w:pStyle w:val="Bezodstpw"/>
                    <w:spacing w:before="80" w:after="40"/>
                    <w:rPr>
                      <w:caps/>
                      <w:color w:val="FF8021"/>
                      <w:sz w:val="24"/>
                      <w:szCs w:val="24"/>
                    </w:rPr>
                  </w:pPr>
                </w:p>
                <w:p w:rsidR="006B79DC" w:rsidRDefault="006B79DC"/>
              </w:txbxContent>
            </v:textbox>
            <w10:wrap type="square" anchorx="page" anchory="page"/>
          </v:shape>
        </w:pict>
      </w:r>
      <w:r w:rsidR="00831ECF" w:rsidRPr="00AE35C1">
        <w:rPr>
          <w:rFonts w:ascii="Calibri Light" w:eastAsia="Times New Roman" w:hAnsi="Calibri Light"/>
          <w:caps/>
          <w:color w:val="4E67C8"/>
          <w:sz w:val="72"/>
          <w:szCs w:val="72"/>
          <w:lang w:eastAsia="pl-PL"/>
        </w:rPr>
        <w:br w:type="page"/>
      </w:r>
    </w:p>
    <w:p w:rsidR="00770CED" w:rsidRPr="00AE35C1" w:rsidRDefault="00770CED" w:rsidP="00595F55">
      <w:pPr>
        <w:pStyle w:val="Nagwek1"/>
        <w:spacing w:before="0" w:after="0"/>
        <w:rPr>
          <w:sz w:val="2"/>
          <w:szCs w:val="2"/>
        </w:rPr>
      </w:pPr>
      <w:bookmarkStart w:id="0" w:name="_Toc499632557"/>
      <w:bookmarkStart w:id="1" w:name="_Toc499632757"/>
      <w:bookmarkStart w:id="2" w:name="_Toc500226198"/>
      <w:bookmarkStart w:id="3" w:name="_Toc505779294"/>
      <w:bookmarkStart w:id="4" w:name="_Toc511716299"/>
      <w:r w:rsidRPr="00AE35C1">
        <w:lastRenderedPageBreak/>
        <w:t>SPIS TREŚCI</w:t>
      </w:r>
      <w:bookmarkEnd w:id="0"/>
      <w:bookmarkEnd w:id="1"/>
      <w:bookmarkEnd w:id="2"/>
      <w:bookmarkEnd w:id="3"/>
      <w:bookmarkEnd w:id="4"/>
    </w:p>
    <w:p w:rsidR="00FD7829" w:rsidRDefault="00E6670D" w:rsidP="005B6AFA">
      <w:pPr>
        <w:pStyle w:val="Spistreci1"/>
        <w:rPr>
          <w:rFonts w:asciiTheme="minorHAnsi" w:eastAsiaTheme="minorEastAsia" w:hAnsiTheme="minorHAnsi" w:cstheme="minorBidi"/>
          <w:color w:val="auto"/>
          <w:sz w:val="22"/>
          <w:szCs w:val="22"/>
        </w:rPr>
      </w:pPr>
      <w:r w:rsidRPr="00E6670D">
        <w:rPr>
          <w:rFonts w:ascii="Calibri" w:hAnsi="Calibri" w:cs="Calibri"/>
          <w:color w:val="000000"/>
        </w:rPr>
        <w:fldChar w:fldCharType="begin"/>
      </w:r>
      <w:r w:rsidR="00555D92" w:rsidRPr="00AE35C1">
        <w:rPr>
          <w:rFonts w:ascii="Calibri" w:hAnsi="Calibri" w:cs="Calibri"/>
          <w:color w:val="000000"/>
        </w:rPr>
        <w:instrText xml:space="preserve"> TOC \o "1-3" \h \z \u </w:instrText>
      </w:r>
      <w:r w:rsidRPr="00E6670D">
        <w:rPr>
          <w:rFonts w:ascii="Calibri" w:hAnsi="Calibri" w:cs="Calibri"/>
          <w:color w:val="000000"/>
        </w:rPr>
        <w:fldChar w:fldCharType="separate"/>
      </w:r>
      <w:hyperlink w:anchor="_Toc511716300" w:history="1">
        <w:r w:rsidR="00FD7829" w:rsidRPr="00683C4B">
          <w:rPr>
            <w:rStyle w:val="Hipercze"/>
          </w:rPr>
          <w:t>WPROWADZENIE</w:t>
        </w:r>
        <w:r w:rsidR="00FD7829">
          <w:rPr>
            <w:webHidden/>
          </w:rPr>
          <w:tab/>
        </w:r>
        <w:r>
          <w:rPr>
            <w:webHidden/>
          </w:rPr>
          <w:fldChar w:fldCharType="begin"/>
        </w:r>
        <w:r w:rsidR="00FD7829">
          <w:rPr>
            <w:webHidden/>
          </w:rPr>
          <w:instrText xml:space="preserve"> PAGEREF _Toc511716300 \h </w:instrText>
        </w:r>
        <w:r>
          <w:rPr>
            <w:webHidden/>
          </w:rPr>
        </w:r>
        <w:r>
          <w:rPr>
            <w:webHidden/>
          </w:rPr>
          <w:fldChar w:fldCharType="separate"/>
        </w:r>
        <w:r w:rsidR="0013522B">
          <w:rPr>
            <w:webHidden/>
          </w:rPr>
          <w:t>2</w:t>
        </w:r>
        <w:r>
          <w:rPr>
            <w:webHidden/>
          </w:rPr>
          <w:fldChar w:fldCharType="end"/>
        </w:r>
      </w:hyperlink>
    </w:p>
    <w:p w:rsidR="00FD7829" w:rsidRDefault="00E6670D" w:rsidP="005B6AFA">
      <w:pPr>
        <w:pStyle w:val="Spistreci1"/>
        <w:rPr>
          <w:rFonts w:asciiTheme="minorHAnsi" w:eastAsiaTheme="minorEastAsia" w:hAnsiTheme="minorHAnsi" w:cstheme="minorBidi"/>
          <w:color w:val="auto"/>
          <w:sz w:val="22"/>
          <w:szCs w:val="22"/>
        </w:rPr>
      </w:pPr>
      <w:hyperlink w:anchor="_Toc511716301" w:history="1">
        <w:r w:rsidR="00FD7829" w:rsidRPr="00683C4B">
          <w:rPr>
            <w:rStyle w:val="Hipercze"/>
          </w:rPr>
          <w:t>1. DIAGNOZA PROSPEKTYWNA</w:t>
        </w:r>
        <w:r w:rsidR="00FD7829">
          <w:rPr>
            <w:webHidden/>
          </w:rPr>
          <w:tab/>
        </w:r>
        <w:r>
          <w:rPr>
            <w:webHidden/>
          </w:rPr>
          <w:fldChar w:fldCharType="begin"/>
        </w:r>
        <w:r w:rsidR="00FD7829">
          <w:rPr>
            <w:webHidden/>
          </w:rPr>
          <w:instrText xml:space="preserve"> PAGEREF _Toc511716301 \h </w:instrText>
        </w:r>
        <w:r>
          <w:rPr>
            <w:webHidden/>
          </w:rPr>
        </w:r>
        <w:r>
          <w:rPr>
            <w:webHidden/>
          </w:rPr>
          <w:fldChar w:fldCharType="separate"/>
        </w:r>
        <w:r w:rsidR="0013522B">
          <w:rPr>
            <w:webHidden/>
          </w:rPr>
          <w:t>4</w:t>
        </w:r>
        <w:r>
          <w:rPr>
            <w:webHidden/>
          </w:rPr>
          <w:fldChar w:fldCharType="end"/>
        </w:r>
      </w:hyperlink>
    </w:p>
    <w:p w:rsidR="00FD7829" w:rsidRPr="00FA64B1" w:rsidRDefault="00E6670D">
      <w:pPr>
        <w:pStyle w:val="Spistreci2"/>
        <w:rPr>
          <w:rFonts w:asciiTheme="minorHAnsi" w:eastAsiaTheme="minorEastAsia" w:hAnsiTheme="minorHAnsi" w:cstheme="minorHAnsi"/>
          <w:iCs w:val="0"/>
          <w:color w:val="auto"/>
          <w:sz w:val="22"/>
          <w:szCs w:val="22"/>
        </w:rPr>
      </w:pPr>
      <w:hyperlink w:anchor="_Toc511716302" w:history="1">
        <w:r w:rsidR="00FD7829" w:rsidRPr="00FA64B1">
          <w:rPr>
            <w:rStyle w:val="Hipercze"/>
            <w:rFonts w:asciiTheme="minorHAnsi" w:hAnsiTheme="minorHAnsi" w:cstheme="minorHAnsi"/>
          </w:rPr>
          <w:t>1.1.</w:t>
        </w:r>
        <w:r w:rsidR="00FD7829" w:rsidRPr="00FA64B1">
          <w:rPr>
            <w:rFonts w:asciiTheme="minorHAnsi" w:eastAsiaTheme="minorEastAsia" w:hAnsiTheme="minorHAnsi" w:cstheme="minorHAnsi"/>
            <w:iCs w:val="0"/>
            <w:color w:val="auto"/>
            <w:sz w:val="22"/>
            <w:szCs w:val="22"/>
          </w:rPr>
          <w:tab/>
        </w:r>
        <w:r w:rsidR="00FD7829" w:rsidRPr="00FA64B1">
          <w:rPr>
            <w:rStyle w:val="Hipercze"/>
            <w:rFonts w:asciiTheme="minorHAnsi" w:hAnsiTheme="minorHAnsi" w:cstheme="minorHAnsi"/>
          </w:rPr>
          <w:t>OGÓLNA CHARAKTERYSTYKA WOJEWÓDZTWA</w:t>
        </w:r>
        <w:r w:rsidR="00FD7829" w:rsidRPr="00FA64B1">
          <w:rPr>
            <w:rFonts w:asciiTheme="minorHAnsi" w:hAnsiTheme="minorHAnsi" w:cstheme="minorHAnsi"/>
            <w:webHidden/>
          </w:rPr>
          <w:tab/>
        </w:r>
        <w:r w:rsidRPr="00FA64B1">
          <w:rPr>
            <w:rFonts w:asciiTheme="minorHAnsi" w:hAnsiTheme="minorHAnsi" w:cstheme="minorHAnsi"/>
            <w:webHidden/>
          </w:rPr>
          <w:fldChar w:fldCharType="begin"/>
        </w:r>
        <w:r w:rsidR="00FD7829" w:rsidRPr="00FA64B1">
          <w:rPr>
            <w:rFonts w:asciiTheme="minorHAnsi" w:hAnsiTheme="minorHAnsi" w:cstheme="minorHAnsi"/>
            <w:webHidden/>
          </w:rPr>
          <w:instrText xml:space="preserve"> PAGEREF _Toc511716302 \h </w:instrText>
        </w:r>
        <w:r w:rsidRPr="00FA64B1">
          <w:rPr>
            <w:rFonts w:asciiTheme="minorHAnsi" w:hAnsiTheme="minorHAnsi" w:cstheme="minorHAnsi"/>
            <w:webHidden/>
          </w:rPr>
        </w:r>
        <w:r w:rsidRPr="00FA64B1">
          <w:rPr>
            <w:rFonts w:asciiTheme="minorHAnsi" w:hAnsiTheme="minorHAnsi" w:cstheme="minorHAnsi"/>
            <w:webHidden/>
          </w:rPr>
          <w:fldChar w:fldCharType="separate"/>
        </w:r>
        <w:r w:rsidR="0013522B">
          <w:rPr>
            <w:rFonts w:asciiTheme="minorHAnsi" w:hAnsiTheme="minorHAnsi" w:cstheme="minorHAnsi"/>
            <w:webHidden/>
          </w:rPr>
          <w:t>4</w:t>
        </w:r>
        <w:r w:rsidRPr="00FA64B1">
          <w:rPr>
            <w:rFonts w:asciiTheme="minorHAnsi" w:hAnsiTheme="minorHAnsi" w:cstheme="minorHAnsi"/>
            <w:webHidden/>
          </w:rPr>
          <w:fldChar w:fldCharType="end"/>
        </w:r>
      </w:hyperlink>
    </w:p>
    <w:p w:rsidR="00FD7829" w:rsidRPr="00FA64B1" w:rsidRDefault="00E6670D">
      <w:pPr>
        <w:pStyle w:val="Spistreci2"/>
        <w:rPr>
          <w:rFonts w:asciiTheme="minorHAnsi" w:eastAsiaTheme="minorEastAsia" w:hAnsiTheme="minorHAnsi" w:cstheme="minorHAnsi"/>
          <w:iCs w:val="0"/>
          <w:color w:val="auto"/>
          <w:sz w:val="22"/>
          <w:szCs w:val="22"/>
        </w:rPr>
      </w:pPr>
      <w:hyperlink w:anchor="_Toc511716303" w:history="1">
        <w:r w:rsidR="00FD7829" w:rsidRPr="00FA64B1">
          <w:rPr>
            <w:rStyle w:val="Hipercze"/>
            <w:rFonts w:asciiTheme="minorHAnsi" w:hAnsiTheme="minorHAnsi" w:cstheme="minorHAnsi"/>
          </w:rPr>
          <w:t>1.2.</w:t>
        </w:r>
        <w:r w:rsidR="00FD7829" w:rsidRPr="00FA64B1">
          <w:rPr>
            <w:rFonts w:asciiTheme="minorHAnsi" w:eastAsiaTheme="minorEastAsia" w:hAnsiTheme="minorHAnsi" w:cstheme="minorHAnsi"/>
            <w:iCs w:val="0"/>
            <w:color w:val="auto"/>
            <w:sz w:val="22"/>
            <w:szCs w:val="22"/>
          </w:rPr>
          <w:tab/>
        </w:r>
        <w:r w:rsidR="00FD7829" w:rsidRPr="00FA64B1">
          <w:rPr>
            <w:rStyle w:val="Hipercze"/>
            <w:rFonts w:asciiTheme="minorHAnsi" w:hAnsiTheme="minorHAnsi" w:cstheme="minorHAnsi"/>
          </w:rPr>
          <w:t>SFERA PRZYRODNICZO-KULTUROWA</w:t>
        </w:r>
        <w:r w:rsidR="00FD7829" w:rsidRPr="00FA64B1">
          <w:rPr>
            <w:rFonts w:asciiTheme="minorHAnsi" w:hAnsiTheme="minorHAnsi" w:cstheme="minorHAnsi"/>
            <w:webHidden/>
          </w:rPr>
          <w:tab/>
        </w:r>
        <w:r w:rsidRPr="00FA64B1">
          <w:rPr>
            <w:rFonts w:asciiTheme="minorHAnsi" w:hAnsiTheme="minorHAnsi" w:cstheme="minorHAnsi"/>
            <w:webHidden/>
          </w:rPr>
          <w:fldChar w:fldCharType="begin"/>
        </w:r>
        <w:r w:rsidR="00FD7829" w:rsidRPr="00FA64B1">
          <w:rPr>
            <w:rFonts w:asciiTheme="minorHAnsi" w:hAnsiTheme="minorHAnsi" w:cstheme="minorHAnsi"/>
            <w:webHidden/>
          </w:rPr>
          <w:instrText xml:space="preserve"> PAGEREF _Toc511716303 \h </w:instrText>
        </w:r>
        <w:r w:rsidRPr="00FA64B1">
          <w:rPr>
            <w:rFonts w:asciiTheme="minorHAnsi" w:hAnsiTheme="minorHAnsi" w:cstheme="minorHAnsi"/>
            <w:webHidden/>
          </w:rPr>
        </w:r>
        <w:r w:rsidRPr="00FA64B1">
          <w:rPr>
            <w:rFonts w:asciiTheme="minorHAnsi" w:hAnsiTheme="minorHAnsi" w:cstheme="minorHAnsi"/>
            <w:webHidden/>
          </w:rPr>
          <w:fldChar w:fldCharType="separate"/>
        </w:r>
        <w:r w:rsidR="0013522B">
          <w:rPr>
            <w:rFonts w:asciiTheme="minorHAnsi" w:hAnsiTheme="minorHAnsi" w:cstheme="minorHAnsi"/>
            <w:webHidden/>
          </w:rPr>
          <w:t>4</w:t>
        </w:r>
        <w:r w:rsidRPr="00FA64B1">
          <w:rPr>
            <w:rFonts w:asciiTheme="minorHAnsi" w:hAnsiTheme="minorHAnsi" w:cstheme="minorHAnsi"/>
            <w:webHidden/>
          </w:rPr>
          <w:fldChar w:fldCharType="end"/>
        </w:r>
      </w:hyperlink>
    </w:p>
    <w:p w:rsidR="00FD7829" w:rsidRPr="00FA64B1" w:rsidRDefault="00E6670D" w:rsidP="00D113CA">
      <w:pPr>
        <w:pStyle w:val="Spistreci3"/>
        <w:tabs>
          <w:tab w:val="right" w:leader="dot" w:pos="9062"/>
        </w:tabs>
        <w:ind w:firstLine="269"/>
        <w:rPr>
          <w:rFonts w:asciiTheme="minorHAnsi" w:eastAsiaTheme="minorEastAsia" w:hAnsiTheme="minorHAnsi" w:cstheme="minorHAnsi"/>
          <w:noProof/>
          <w:color w:val="808080" w:themeColor="background1" w:themeShade="80"/>
          <w:sz w:val="22"/>
          <w:szCs w:val="22"/>
        </w:rPr>
      </w:pPr>
      <w:hyperlink w:anchor="_Toc511716304" w:history="1">
        <w:r w:rsidR="00FD7829" w:rsidRPr="00FA64B1">
          <w:rPr>
            <w:rStyle w:val="Hipercze"/>
            <w:rFonts w:asciiTheme="minorHAnsi" w:hAnsiTheme="minorHAnsi" w:cstheme="minorHAnsi"/>
            <w:noProof/>
            <w:color w:val="808080" w:themeColor="background1" w:themeShade="80"/>
          </w:rPr>
          <w:t>ŚRODOWISKO PRZYRODNICZE</w:t>
        </w:r>
        <w:r w:rsidR="00FD7829" w:rsidRPr="00FA64B1">
          <w:rPr>
            <w:rFonts w:asciiTheme="minorHAnsi" w:hAnsiTheme="minorHAnsi" w:cstheme="minorHAnsi"/>
            <w:noProof/>
            <w:webHidden/>
            <w:color w:val="808080" w:themeColor="background1" w:themeShade="80"/>
          </w:rPr>
          <w:tab/>
        </w:r>
        <w:r w:rsidRPr="00FA64B1">
          <w:rPr>
            <w:rFonts w:asciiTheme="minorHAnsi" w:hAnsiTheme="minorHAnsi" w:cstheme="minorHAnsi"/>
            <w:noProof/>
            <w:webHidden/>
            <w:color w:val="808080" w:themeColor="background1" w:themeShade="80"/>
          </w:rPr>
          <w:fldChar w:fldCharType="begin"/>
        </w:r>
        <w:r w:rsidR="00FD7829" w:rsidRPr="00FA64B1">
          <w:rPr>
            <w:rFonts w:asciiTheme="minorHAnsi" w:hAnsiTheme="minorHAnsi" w:cstheme="minorHAnsi"/>
            <w:noProof/>
            <w:webHidden/>
            <w:color w:val="808080" w:themeColor="background1" w:themeShade="80"/>
          </w:rPr>
          <w:instrText xml:space="preserve"> PAGEREF _Toc511716304 \h </w:instrText>
        </w:r>
        <w:r w:rsidRPr="00FA64B1">
          <w:rPr>
            <w:rFonts w:asciiTheme="minorHAnsi" w:hAnsiTheme="minorHAnsi" w:cstheme="minorHAnsi"/>
            <w:noProof/>
            <w:webHidden/>
            <w:color w:val="808080" w:themeColor="background1" w:themeShade="80"/>
          </w:rPr>
        </w:r>
        <w:r w:rsidRPr="00FA64B1">
          <w:rPr>
            <w:rFonts w:asciiTheme="minorHAnsi" w:hAnsiTheme="minorHAnsi" w:cstheme="minorHAnsi"/>
            <w:noProof/>
            <w:webHidden/>
            <w:color w:val="808080" w:themeColor="background1" w:themeShade="80"/>
          </w:rPr>
          <w:fldChar w:fldCharType="separate"/>
        </w:r>
        <w:r w:rsidR="0013522B">
          <w:rPr>
            <w:rFonts w:asciiTheme="minorHAnsi" w:hAnsiTheme="minorHAnsi" w:cstheme="minorHAnsi"/>
            <w:noProof/>
            <w:webHidden/>
            <w:color w:val="808080" w:themeColor="background1" w:themeShade="80"/>
          </w:rPr>
          <w:t>4</w:t>
        </w:r>
        <w:r w:rsidRPr="00FA64B1">
          <w:rPr>
            <w:rFonts w:asciiTheme="minorHAnsi" w:hAnsiTheme="minorHAnsi" w:cstheme="minorHAnsi"/>
            <w:noProof/>
            <w:webHidden/>
            <w:color w:val="808080" w:themeColor="background1" w:themeShade="80"/>
          </w:rPr>
          <w:fldChar w:fldCharType="end"/>
        </w:r>
      </w:hyperlink>
    </w:p>
    <w:p w:rsidR="00FD7829" w:rsidRPr="00FA64B1" w:rsidRDefault="00E6670D" w:rsidP="00D113CA">
      <w:pPr>
        <w:pStyle w:val="Spistreci3"/>
        <w:tabs>
          <w:tab w:val="right" w:leader="dot" w:pos="9062"/>
        </w:tabs>
        <w:ind w:firstLine="269"/>
        <w:rPr>
          <w:rFonts w:asciiTheme="minorHAnsi" w:eastAsiaTheme="minorEastAsia" w:hAnsiTheme="minorHAnsi" w:cstheme="minorHAnsi"/>
          <w:noProof/>
          <w:color w:val="808080" w:themeColor="background1" w:themeShade="80"/>
          <w:sz w:val="22"/>
          <w:szCs w:val="22"/>
        </w:rPr>
      </w:pPr>
      <w:hyperlink w:anchor="_Toc511716305" w:history="1">
        <w:r w:rsidR="00FD7829" w:rsidRPr="00FA64B1">
          <w:rPr>
            <w:rStyle w:val="Hipercze"/>
            <w:rFonts w:asciiTheme="minorHAnsi" w:hAnsiTheme="minorHAnsi" w:cstheme="minorHAnsi"/>
            <w:noProof/>
            <w:color w:val="808080" w:themeColor="background1" w:themeShade="80"/>
          </w:rPr>
          <w:t>ŚRODOWISKO KULTUROWE</w:t>
        </w:r>
        <w:r w:rsidR="00FD7829" w:rsidRPr="00FA64B1">
          <w:rPr>
            <w:rFonts w:asciiTheme="minorHAnsi" w:hAnsiTheme="minorHAnsi" w:cstheme="minorHAnsi"/>
            <w:noProof/>
            <w:webHidden/>
            <w:color w:val="808080" w:themeColor="background1" w:themeShade="80"/>
          </w:rPr>
          <w:tab/>
        </w:r>
        <w:r w:rsidRPr="00FA64B1">
          <w:rPr>
            <w:rFonts w:asciiTheme="minorHAnsi" w:hAnsiTheme="minorHAnsi" w:cstheme="minorHAnsi"/>
            <w:noProof/>
            <w:webHidden/>
            <w:color w:val="808080" w:themeColor="background1" w:themeShade="80"/>
          </w:rPr>
          <w:fldChar w:fldCharType="begin"/>
        </w:r>
        <w:r w:rsidR="00FD7829" w:rsidRPr="00FA64B1">
          <w:rPr>
            <w:rFonts w:asciiTheme="minorHAnsi" w:hAnsiTheme="minorHAnsi" w:cstheme="minorHAnsi"/>
            <w:noProof/>
            <w:webHidden/>
            <w:color w:val="808080" w:themeColor="background1" w:themeShade="80"/>
          </w:rPr>
          <w:instrText xml:space="preserve"> PAGEREF _Toc511716305 \h </w:instrText>
        </w:r>
        <w:r w:rsidRPr="00FA64B1">
          <w:rPr>
            <w:rFonts w:asciiTheme="minorHAnsi" w:hAnsiTheme="minorHAnsi" w:cstheme="minorHAnsi"/>
            <w:noProof/>
            <w:webHidden/>
            <w:color w:val="808080" w:themeColor="background1" w:themeShade="80"/>
          </w:rPr>
        </w:r>
        <w:r w:rsidRPr="00FA64B1">
          <w:rPr>
            <w:rFonts w:asciiTheme="minorHAnsi" w:hAnsiTheme="minorHAnsi" w:cstheme="minorHAnsi"/>
            <w:noProof/>
            <w:webHidden/>
            <w:color w:val="808080" w:themeColor="background1" w:themeShade="80"/>
          </w:rPr>
          <w:fldChar w:fldCharType="separate"/>
        </w:r>
        <w:r w:rsidR="0013522B">
          <w:rPr>
            <w:rFonts w:asciiTheme="minorHAnsi" w:hAnsiTheme="minorHAnsi" w:cstheme="minorHAnsi"/>
            <w:noProof/>
            <w:webHidden/>
            <w:color w:val="808080" w:themeColor="background1" w:themeShade="80"/>
          </w:rPr>
          <w:t>7</w:t>
        </w:r>
        <w:r w:rsidRPr="00FA64B1">
          <w:rPr>
            <w:rFonts w:asciiTheme="minorHAnsi" w:hAnsiTheme="minorHAnsi" w:cstheme="minorHAnsi"/>
            <w:noProof/>
            <w:webHidden/>
            <w:color w:val="808080" w:themeColor="background1" w:themeShade="80"/>
          </w:rPr>
          <w:fldChar w:fldCharType="end"/>
        </w:r>
      </w:hyperlink>
    </w:p>
    <w:p w:rsidR="00FD7829" w:rsidRPr="00FA64B1" w:rsidRDefault="00E6670D">
      <w:pPr>
        <w:pStyle w:val="Spistreci2"/>
        <w:rPr>
          <w:rFonts w:asciiTheme="minorHAnsi" w:eastAsiaTheme="minorEastAsia" w:hAnsiTheme="minorHAnsi" w:cstheme="minorHAnsi"/>
          <w:iCs w:val="0"/>
          <w:color w:val="808080" w:themeColor="background1" w:themeShade="80"/>
          <w:sz w:val="22"/>
          <w:szCs w:val="22"/>
        </w:rPr>
      </w:pPr>
      <w:hyperlink w:anchor="_Toc511716306" w:history="1">
        <w:r w:rsidR="00FD7829" w:rsidRPr="00FA64B1">
          <w:rPr>
            <w:rStyle w:val="Hipercze"/>
            <w:rFonts w:asciiTheme="minorHAnsi" w:hAnsiTheme="minorHAnsi" w:cstheme="minorHAnsi"/>
            <w:color w:val="808080" w:themeColor="background1" w:themeShade="80"/>
          </w:rPr>
          <w:t>1.3.</w:t>
        </w:r>
        <w:r w:rsidR="00FD7829" w:rsidRPr="00FA64B1">
          <w:rPr>
            <w:rFonts w:asciiTheme="minorHAnsi" w:eastAsiaTheme="minorEastAsia" w:hAnsiTheme="minorHAnsi" w:cstheme="minorHAnsi"/>
            <w:iCs w:val="0"/>
            <w:color w:val="808080" w:themeColor="background1" w:themeShade="80"/>
            <w:sz w:val="22"/>
            <w:szCs w:val="22"/>
          </w:rPr>
          <w:tab/>
        </w:r>
        <w:r w:rsidR="00FD7829" w:rsidRPr="00FA64B1">
          <w:rPr>
            <w:rStyle w:val="Hipercze"/>
            <w:rFonts w:asciiTheme="minorHAnsi" w:hAnsiTheme="minorHAnsi" w:cstheme="minorHAnsi"/>
            <w:color w:val="808080" w:themeColor="background1" w:themeShade="80"/>
          </w:rPr>
          <w:t>SFERA SPOŁECZNA</w:t>
        </w:r>
        <w:r w:rsidR="00FD7829" w:rsidRPr="00FA64B1">
          <w:rPr>
            <w:rFonts w:asciiTheme="minorHAnsi" w:hAnsiTheme="minorHAnsi" w:cstheme="minorHAnsi"/>
            <w:webHidden/>
            <w:color w:val="808080" w:themeColor="background1" w:themeShade="80"/>
          </w:rPr>
          <w:tab/>
        </w:r>
        <w:r w:rsidRPr="00FA64B1">
          <w:rPr>
            <w:rFonts w:asciiTheme="minorHAnsi" w:hAnsiTheme="minorHAnsi" w:cstheme="minorHAnsi"/>
            <w:webHidden/>
            <w:color w:val="808080" w:themeColor="background1" w:themeShade="80"/>
          </w:rPr>
          <w:fldChar w:fldCharType="begin"/>
        </w:r>
        <w:r w:rsidR="00FD7829" w:rsidRPr="00FA64B1">
          <w:rPr>
            <w:rFonts w:asciiTheme="minorHAnsi" w:hAnsiTheme="minorHAnsi" w:cstheme="minorHAnsi"/>
            <w:webHidden/>
            <w:color w:val="808080" w:themeColor="background1" w:themeShade="80"/>
          </w:rPr>
          <w:instrText xml:space="preserve"> PAGEREF _Toc511716306 \h </w:instrText>
        </w:r>
        <w:r w:rsidRPr="00FA64B1">
          <w:rPr>
            <w:rFonts w:asciiTheme="minorHAnsi" w:hAnsiTheme="minorHAnsi" w:cstheme="minorHAnsi"/>
            <w:webHidden/>
            <w:color w:val="808080" w:themeColor="background1" w:themeShade="80"/>
          </w:rPr>
        </w:r>
        <w:r w:rsidRPr="00FA64B1">
          <w:rPr>
            <w:rFonts w:asciiTheme="minorHAnsi" w:hAnsiTheme="minorHAnsi" w:cstheme="minorHAnsi"/>
            <w:webHidden/>
            <w:color w:val="808080" w:themeColor="background1" w:themeShade="80"/>
          </w:rPr>
          <w:fldChar w:fldCharType="separate"/>
        </w:r>
        <w:r w:rsidR="0013522B">
          <w:rPr>
            <w:rFonts w:asciiTheme="minorHAnsi" w:hAnsiTheme="minorHAnsi" w:cstheme="minorHAnsi"/>
            <w:webHidden/>
            <w:color w:val="808080" w:themeColor="background1" w:themeShade="80"/>
          </w:rPr>
          <w:t>8</w:t>
        </w:r>
        <w:r w:rsidRPr="00FA64B1">
          <w:rPr>
            <w:rFonts w:asciiTheme="minorHAnsi" w:hAnsiTheme="minorHAnsi" w:cstheme="minorHAnsi"/>
            <w:webHidden/>
            <w:color w:val="808080" w:themeColor="background1" w:themeShade="80"/>
          </w:rPr>
          <w:fldChar w:fldCharType="end"/>
        </w:r>
      </w:hyperlink>
    </w:p>
    <w:p w:rsidR="00FD7829" w:rsidRPr="00FA64B1" w:rsidRDefault="00E6670D" w:rsidP="00D113CA">
      <w:pPr>
        <w:pStyle w:val="Spistreci3"/>
        <w:tabs>
          <w:tab w:val="right" w:leader="dot" w:pos="9062"/>
        </w:tabs>
        <w:ind w:firstLine="269"/>
        <w:rPr>
          <w:rFonts w:asciiTheme="minorHAnsi" w:eastAsiaTheme="minorEastAsia" w:hAnsiTheme="minorHAnsi" w:cstheme="minorHAnsi"/>
          <w:noProof/>
          <w:color w:val="808080" w:themeColor="background1" w:themeShade="80"/>
          <w:sz w:val="22"/>
          <w:szCs w:val="22"/>
        </w:rPr>
      </w:pPr>
      <w:hyperlink w:anchor="_Toc511716307" w:history="1">
        <w:r w:rsidR="00FD7829" w:rsidRPr="00FA64B1">
          <w:rPr>
            <w:rStyle w:val="Hipercze"/>
            <w:rFonts w:asciiTheme="minorHAnsi" w:hAnsiTheme="minorHAnsi" w:cstheme="minorHAnsi"/>
            <w:noProof/>
            <w:color w:val="808080" w:themeColor="background1" w:themeShade="80"/>
          </w:rPr>
          <w:t>STRUKTURA FUNKCJONALNO-PRZESTRZENNA</w:t>
        </w:r>
        <w:r w:rsidR="00FD7829" w:rsidRPr="00FA64B1">
          <w:rPr>
            <w:rFonts w:asciiTheme="minorHAnsi" w:hAnsiTheme="minorHAnsi" w:cstheme="minorHAnsi"/>
            <w:noProof/>
            <w:webHidden/>
            <w:color w:val="808080" w:themeColor="background1" w:themeShade="80"/>
          </w:rPr>
          <w:tab/>
        </w:r>
        <w:r w:rsidRPr="00FA64B1">
          <w:rPr>
            <w:rFonts w:asciiTheme="minorHAnsi" w:hAnsiTheme="minorHAnsi" w:cstheme="minorHAnsi"/>
            <w:noProof/>
            <w:webHidden/>
            <w:color w:val="808080" w:themeColor="background1" w:themeShade="80"/>
          </w:rPr>
          <w:fldChar w:fldCharType="begin"/>
        </w:r>
        <w:r w:rsidR="00FD7829" w:rsidRPr="00FA64B1">
          <w:rPr>
            <w:rFonts w:asciiTheme="minorHAnsi" w:hAnsiTheme="minorHAnsi" w:cstheme="minorHAnsi"/>
            <w:noProof/>
            <w:webHidden/>
            <w:color w:val="808080" w:themeColor="background1" w:themeShade="80"/>
          </w:rPr>
          <w:instrText xml:space="preserve"> PAGEREF _Toc511716307 \h </w:instrText>
        </w:r>
        <w:r w:rsidRPr="00FA64B1">
          <w:rPr>
            <w:rFonts w:asciiTheme="minorHAnsi" w:hAnsiTheme="minorHAnsi" w:cstheme="minorHAnsi"/>
            <w:noProof/>
            <w:webHidden/>
            <w:color w:val="808080" w:themeColor="background1" w:themeShade="80"/>
          </w:rPr>
        </w:r>
        <w:r w:rsidRPr="00FA64B1">
          <w:rPr>
            <w:rFonts w:asciiTheme="minorHAnsi" w:hAnsiTheme="minorHAnsi" w:cstheme="minorHAnsi"/>
            <w:noProof/>
            <w:webHidden/>
            <w:color w:val="808080" w:themeColor="background1" w:themeShade="80"/>
          </w:rPr>
          <w:fldChar w:fldCharType="separate"/>
        </w:r>
        <w:r w:rsidR="0013522B">
          <w:rPr>
            <w:rFonts w:asciiTheme="minorHAnsi" w:hAnsiTheme="minorHAnsi" w:cstheme="minorHAnsi"/>
            <w:noProof/>
            <w:webHidden/>
            <w:color w:val="808080" w:themeColor="background1" w:themeShade="80"/>
          </w:rPr>
          <w:t>8</w:t>
        </w:r>
        <w:r w:rsidRPr="00FA64B1">
          <w:rPr>
            <w:rFonts w:asciiTheme="minorHAnsi" w:hAnsiTheme="minorHAnsi" w:cstheme="minorHAnsi"/>
            <w:noProof/>
            <w:webHidden/>
            <w:color w:val="808080" w:themeColor="background1" w:themeShade="80"/>
          </w:rPr>
          <w:fldChar w:fldCharType="end"/>
        </w:r>
      </w:hyperlink>
    </w:p>
    <w:p w:rsidR="00FD7829" w:rsidRPr="00FA64B1" w:rsidRDefault="00E6670D" w:rsidP="00D113CA">
      <w:pPr>
        <w:pStyle w:val="Spistreci3"/>
        <w:tabs>
          <w:tab w:val="right" w:leader="dot" w:pos="9062"/>
        </w:tabs>
        <w:ind w:firstLine="269"/>
        <w:rPr>
          <w:rFonts w:asciiTheme="minorHAnsi" w:eastAsiaTheme="minorEastAsia" w:hAnsiTheme="minorHAnsi" w:cstheme="minorHAnsi"/>
          <w:noProof/>
          <w:color w:val="808080" w:themeColor="background1" w:themeShade="80"/>
          <w:sz w:val="22"/>
          <w:szCs w:val="22"/>
        </w:rPr>
      </w:pPr>
      <w:hyperlink w:anchor="_Toc511716308" w:history="1">
        <w:r w:rsidR="00FD7829" w:rsidRPr="00FA64B1">
          <w:rPr>
            <w:rStyle w:val="Hipercze"/>
            <w:rFonts w:asciiTheme="minorHAnsi" w:hAnsiTheme="minorHAnsi" w:cstheme="minorHAnsi"/>
            <w:noProof/>
            <w:color w:val="808080" w:themeColor="background1" w:themeShade="80"/>
          </w:rPr>
          <w:t>DEMOGRAFIA</w:t>
        </w:r>
        <w:r w:rsidR="00FD7829" w:rsidRPr="00FA64B1">
          <w:rPr>
            <w:rFonts w:asciiTheme="minorHAnsi" w:hAnsiTheme="minorHAnsi" w:cstheme="minorHAnsi"/>
            <w:noProof/>
            <w:webHidden/>
            <w:color w:val="808080" w:themeColor="background1" w:themeShade="80"/>
          </w:rPr>
          <w:tab/>
        </w:r>
        <w:r w:rsidRPr="00FA64B1">
          <w:rPr>
            <w:rFonts w:asciiTheme="minorHAnsi" w:hAnsiTheme="minorHAnsi" w:cstheme="minorHAnsi"/>
            <w:noProof/>
            <w:webHidden/>
            <w:color w:val="808080" w:themeColor="background1" w:themeShade="80"/>
          </w:rPr>
          <w:fldChar w:fldCharType="begin"/>
        </w:r>
        <w:r w:rsidR="00FD7829" w:rsidRPr="00FA64B1">
          <w:rPr>
            <w:rFonts w:asciiTheme="minorHAnsi" w:hAnsiTheme="minorHAnsi" w:cstheme="minorHAnsi"/>
            <w:noProof/>
            <w:webHidden/>
            <w:color w:val="808080" w:themeColor="background1" w:themeShade="80"/>
          </w:rPr>
          <w:instrText xml:space="preserve"> PAGEREF _Toc511716308 \h </w:instrText>
        </w:r>
        <w:r w:rsidRPr="00FA64B1">
          <w:rPr>
            <w:rFonts w:asciiTheme="minorHAnsi" w:hAnsiTheme="minorHAnsi" w:cstheme="minorHAnsi"/>
            <w:noProof/>
            <w:webHidden/>
            <w:color w:val="808080" w:themeColor="background1" w:themeShade="80"/>
          </w:rPr>
        </w:r>
        <w:r w:rsidRPr="00FA64B1">
          <w:rPr>
            <w:rFonts w:asciiTheme="minorHAnsi" w:hAnsiTheme="minorHAnsi" w:cstheme="minorHAnsi"/>
            <w:noProof/>
            <w:webHidden/>
            <w:color w:val="808080" w:themeColor="background1" w:themeShade="80"/>
          </w:rPr>
          <w:fldChar w:fldCharType="separate"/>
        </w:r>
        <w:r w:rsidR="0013522B">
          <w:rPr>
            <w:rFonts w:asciiTheme="minorHAnsi" w:hAnsiTheme="minorHAnsi" w:cstheme="minorHAnsi"/>
            <w:noProof/>
            <w:webHidden/>
            <w:color w:val="808080" w:themeColor="background1" w:themeShade="80"/>
          </w:rPr>
          <w:t>9</w:t>
        </w:r>
        <w:r w:rsidRPr="00FA64B1">
          <w:rPr>
            <w:rFonts w:asciiTheme="minorHAnsi" w:hAnsiTheme="minorHAnsi" w:cstheme="minorHAnsi"/>
            <w:noProof/>
            <w:webHidden/>
            <w:color w:val="808080" w:themeColor="background1" w:themeShade="80"/>
          </w:rPr>
          <w:fldChar w:fldCharType="end"/>
        </w:r>
      </w:hyperlink>
    </w:p>
    <w:p w:rsidR="00FD7829" w:rsidRPr="00FA64B1" w:rsidRDefault="00E6670D" w:rsidP="00D113CA">
      <w:pPr>
        <w:pStyle w:val="Spistreci3"/>
        <w:tabs>
          <w:tab w:val="right" w:leader="dot" w:pos="9062"/>
        </w:tabs>
        <w:ind w:firstLine="269"/>
        <w:rPr>
          <w:rFonts w:asciiTheme="minorHAnsi" w:eastAsiaTheme="minorEastAsia" w:hAnsiTheme="minorHAnsi" w:cstheme="minorHAnsi"/>
          <w:noProof/>
          <w:color w:val="808080" w:themeColor="background1" w:themeShade="80"/>
          <w:sz w:val="22"/>
          <w:szCs w:val="22"/>
        </w:rPr>
      </w:pPr>
      <w:hyperlink w:anchor="_Toc511716309" w:history="1">
        <w:r w:rsidR="00FD7829" w:rsidRPr="00FA64B1">
          <w:rPr>
            <w:rStyle w:val="Hipercze"/>
            <w:rFonts w:asciiTheme="minorHAnsi" w:hAnsiTheme="minorHAnsi" w:cstheme="minorHAnsi"/>
            <w:noProof/>
            <w:color w:val="808080" w:themeColor="background1" w:themeShade="80"/>
          </w:rPr>
          <w:t>KAPITAŁ LUDZKI I INFRASTRUKTURA SPOŁECZNA</w:t>
        </w:r>
        <w:r w:rsidR="00FD7829" w:rsidRPr="00FA64B1">
          <w:rPr>
            <w:rFonts w:asciiTheme="minorHAnsi" w:hAnsiTheme="minorHAnsi" w:cstheme="minorHAnsi"/>
            <w:noProof/>
            <w:webHidden/>
            <w:color w:val="808080" w:themeColor="background1" w:themeShade="80"/>
          </w:rPr>
          <w:tab/>
        </w:r>
        <w:r w:rsidRPr="00FA64B1">
          <w:rPr>
            <w:rFonts w:asciiTheme="minorHAnsi" w:hAnsiTheme="minorHAnsi" w:cstheme="minorHAnsi"/>
            <w:noProof/>
            <w:webHidden/>
            <w:color w:val="808080" w:themeColor="background1" w:themeShade="80"/>
          </w:rPr>
          <w:fldChar w:fldCharType="begin"/>
        </w:r>
        <w:r w:rsidR="00FD7829" w:rsidRPr="00FA64B1">
          <w:rPr>
            <w:rFonts w:asciiTheme="minorHAnsi" w:hAnsiTheme="minorHAnsi" w:cstheme="minorHAnsi"/>
            <w:noProof/>
            <w:webHidden/>
            <w:color w:val="808080" w:themeColor="background1" w:themeShade="80"/>
          </w:rPr>
          <w:instrText xml:space="preserve"> PAGEREF _Toc511716309 \h </w:instrText>
        </w:r>
        <w:r w:rsidRPr="00FA64B1">
          <w:rPr>
            <w:rFonts w:asciiTheme="minorHAnsi" w:hAnsiTheme="minorHAnsi" w:cstheme="minorHAnsi"/>
            <w:noProof/>
            <w:webHidden/>
            <w:color w:val="808080" w:themeColor="background1" w:themeShade="80"/>
          </w:rPr>
        </w:r>
        <w:r w:rsidRPr="00FA64B1">
          <w:rPr>
            <w:rFonts w:asciiTheme="minorHAnsi" w:hAnsiTheme="minorHAnsi" w:cstheme="minorHAnsi"/>
            <w:noProof/>
            <w:webHidden/>
            <w:color w:val="808080" w:themeColor="background1" w:themeShade="80"/>
          </w:rPr>
          <w:fldChar w:fldCharType="separate"/>
        </w:r>
        <w:r w:rsidR="0013522B">
          <w:rPr>
            <w:rFonts w:asciiTheme="minorHAnsi" w:hAnsiTheme="minorHAnsi" w:cstheme="minorHAnsi"/>
            <w:noProof/>
            <w:webHidden/>
            <w:color w:val="808080" w:themeColor="background1" w:themeShade="80"/>
          </w:rPr>
          <w:t>12</w:t>
        </w:r>
        <w:r w:rsidRPr="00FA64B1">
          <w:rPr>
            <w:rFonts w:asciiTheme="minorHAnsi" w:hAnsiTheme="minorHAnsi" w:cstheme="minorHAnsi"/>
            <w:noProof/>
            <w:webHidden/>
            <w:color w:val="808080" w:themeColor="background1" w:themeShade="80"/>
          </w:rPr>
          <w:fldChar w:fldCharType="end"/>
        </w:r>
      </w:hyperlink>
    </w:p>
    <w:p w:rsidR="00FD7829" w:rsidRPr="00FA64B1" w:rsidRDefault="00E6670D" w:rsidP="00D113CA">
      <w:pPr>
        <w:pStyle w:val="Spistreci3"/>
        <w:tabs>
          <w:tab w:val="right" w:leader="dot" w:pos="9062"/>
        </w:tabs>
        <w:ind w:firstLine="269"/>
        <w:rPr>
          <w:rFonts w:asciiTheme="minorHAnsi" w:eastAsiaTheme="minorEastAsia" w:hAnsiTheme="minorHAnsi" w:cstheme="minorHAnsi"/>
          <w:noProof/>
          <w:color w:val="808080" w:themeColor="background1" w:themeShade="80"/>
          <w:sz w:val="22"/>
          <w:szCs w:val="22"/>
        </w:rPr>
      </w:pPr>
      <w:hyperlink w:anchor="_Toc511716310" w:history="1">
        <w:r w:rsidR="00FD7829" w:rsidRPr="00FA64B1">
          <w:rPr>
            <w:rStyle w:val="Hipercze"/>
            <w:rFonts w:asciiTheme="minorHAnsi" w:hAnsiTheme="minorHAnsi" w:cstheme="minorHAnsi"/>
            <w:noProof/>
            <w:color w:val="808080" w:themeColor="background1" w:themeShade="80"/>
          </w:rPr>
          <w:t>TURYSTYKA</w:t>
        </w:r>
        <w:r w:rsidR="00FD7829" w:rsidRPr="00FA64B1">
          <w:rPr>
            <w:rFonts w:asciiTheme="minorHAnsi" w:hAnsiTheme="minorHAnsi" w:cstheme="minorHAnsi"/>
            <w:noProof/>
            <w:webHidden/>
            <w:color w:val="808080" w:themeColor="background1" w:themeShade="80"/>
          </w:rPr>
          <w:tab/>
        </w:r>
        <w:r w:rsidRPr="00FA64B1">
          <w:rPr>
            <w:rFonts w:asciiTheme="minorHAnsi" w:hAnsiTheme="minorHAnsi" w:cstheme="minorHAnsi"/>
            <w:noProof/>
            <w:webHidden/>
            <w:color w:val="808080" w:themeColor="background1" w:themeShade="80"/>
          </w:rPr>
          <w:fldChar w:fldCharType="begin"/>
        </w:r>
        <w:r w:rsidR="00FD7829" w:rsidRPr="00FA64B1">
          <w:rPr>
            <w:rFonts w:asciiTheme="minorHAnsi" w:hAnsiTheme="minorHAnsi" w:cstheme="minorHAnsi"/>
            <w:noProof/>
            <w:webHidden/>
            <w:color w:val="808080" w:themeColor="background1" w:themeShade="80"/>
          </w:rPr>
          <w:instrText xml:space="preserve"> PAGEREF _Toc511716310 \h </w:instrText>
        </w:r>
        <w:r w:rsidRPr="00FA64B1">
          <w:rPr>
            <w:rFonts w:asciiTheme="minorHAnsi" w:hAnsiTheme="minorHAnsi" w:cstheme="minorHAnsi"/>
            <w:noProof/>
            <w:webHidden/>
            <w:color w:val="808080" w:themeColor="background1" w:themeShade="80"/>
          </w:rPr>
        </w:r>
        <w:r w:rsidRPr="00FA64B1">
          <w:rPr>
            <w:rFonts w:asciiTheme="minorHAnsi" w:hAnsiTheme="minorHAnsi" w:cstheme="minorHAnsi"/>
            <w:noProof/>
            <w:webHidden/>
            <w:color w:val="808080" w:themeColor="background1" w:themeShade="80"/>
          </w:rPr>
          <w:fldChar w:fldCharType="separate"/>
        </w:r>
        <w:r w:rsidR="0013522B">
          <w:rPr>
            <w:rFonts w:asciiTheme="minorHAnsi" w:hAnsiTheme="minorHAnsi" w:cstheme="minorHAnsi"/>
            <w:noProof/>
            <w:webHidden/>
            <w:color w:val="808080" w:themeColor="background1" w:themeShade="80"/>
          </w:rPr>
          <w:t>16</w:t>
        </w:r>
        <w:r w:rsidRPr="00FA64B1">
          <w:rPr>
            <w:rFonts w:asciiTheme="minorHAnsi" w:hAnsiTheme="minorHAnsi" w:cstheme="minorHAnsi"/>
            <w:noProof/>
            <w:webHidden/>
            <w:color w:val="808080" w:themeColor="background1" w:themeShade="80"/>
          </w:rPr>
          <w:fldChar w:fldCharType="end"/>
        </w:r>
      </w:hyperlink>
    </w:p>
    <w:p w:rsidR="00FD7829" w:rsidRPr="00FA64B1" w:rsidRDefault="00E6670D">
      <w:pPr>
        <w:pStyle w:val="Spistreci2"/>
        <w:rPr>
          <w:rFonts w:asciiTheme="minorHAnsi" w:eastAsiaTheme="minorEastAsia" w:hAnsiTheme="minorHAnsi" w:cstheme="minorHAnsi"/>
          <w:iCs w:val="0"/>
          <w:color w:val="808080" w:themeColor="background1" w:themeShade="80"/>
          <w:sz w:val="22"/>
          <w:szCs w:val="22"/>
        </w:rPr>
      </w:pPr>
      <w:hyperlink w:anchor="_Toc511716311" w:history="1">
        <w:r w:rsidR="00FD7829" w:rsidRPr="00FA64B1">
          <w:rPr>
            <w:rStyle w:val="Hipercze"/>
            <w:rFonts w:asciiTheme="minorHAnsi" w:hAnsiTheme="minorHAnsi" w:cstheme="minorHAnsi"/>
            <w:color w:val="808080" w:themeColor="background1" w:themeShade="80"/>
          </w:rPr>
          <w:t>1.4.</w:t>
        </w:r>
        <w:r w:rsidR="00FD7829" w:rsidRPr="00FA64B1">
          <w:rPr>
            <w:rFonts w:asciiTheme="minorHAnsi" w:eastAsiaTheme="minorEastAsia" w:hAnsiTheme="minorHAnsi" w:cstheme="minorHAnsi"/>
            <w:iCs w:val="0"/>
            <w:color w:val="808080" w:themeColor="background1" w:themeShade="80"/>
            <w:sz w:val="22"/>
            <w:szCs w:val="22"/>
          </w:rPr>
          <w:tab/>
        </w:r>
        <w:r w:rsidR="00FD7829" w:rsidRPr="00FA64B1">
          <w:rPr>
            <w:rStyle w:val="Hipercze"/>
            <w:rFonts w:asciiTheme="minorHAnsi" w:hAnsiTheme="minorHAnsi" w:cstheme="minorHAnsi"/>
            <w:color w:val="808080" w:themeColor="background1" w:themeShade="80"/>
          </w:rPr>
          <w:t>SFERA GOSPODARCZA</w:t>
        </w:r>
        <w:r w:rsidR="00FD7829" w:rsidRPr="00FA64B1">
          <w:rPr>
            <w:rFonts w:asciiTheme="minorHAnsi" w:hAnsiTheme="minorHAnsi" w:cstheme="minorHAnsi"/>
            <w:webHidden/>
            <w:color w:val="808080" w:themeColor="background1" w:themeShade="80"/>
          </w:rPr>
          <w:tab/>
        </w:r>
        <w:r w:rsidRPr="00FA64B1">
          <w:rPr>
            <w:rFonts w:asciiTheme="minorHAnsi" w:hAnsiTheme="minorHAnsi" w:cstheme="minorHAnsi"/>
            <w:webHidden/>
            <w:color w:val="808080" w:themeColor="background1" w:themeShade="80"/>
          </w:rPr>
          <w:fldChar w:fldCharType="begin"/>
        </w:r>
        <w:r w:rsidR="00FD7829" w:rsidRPr="00FA64B1">
          <w:rPr>
            <w:rFonts w:asciiTheme="minorHAnsi" w:hAnsiTheme="minorHAnsi" w:cstheme="minorHAnsi"/>
            <w:webHidden/>
            <w:color w:val="808080" w:themeColor="background1" w:themeShade="80"/>
          </w:rPr>
          <w:instrText xml:space="preserve"> PAGEREF _Toc511716311 \h </w:instrText>
        </w:r>
        <w:r w:rsidRPr="00FA64B1">
          <w:rPr>
            <w:rFonts w:asciiTheme="minorHAnsi" w:hAnsiTheme="minorHAnsi" w:cstheme="minorHAnsi"/>
            <w:webHidden/>
            <w:color w:val="808080" w:themeColor="background1" w:themeShade="80"/>
          </w:rPr>
        </w:r>
        <w:r w:rsidRPr="00FA64B1">
          <w:rPr>
            <w:rFonts w:asciiTheme="minorHAnsi" w:hAnsiTheme="minorHAnsi" w:cstheme="minorHAnsi"/>
            <w:webHidden/>
            <w:color w:val="808080" w:themeColor="background1" w:themeShade="80"/>
          </w:rPr>
          <w:fldChar w:fldCharType="separate"/>
        </w:r>
        <w:r w:rsidR="0013522B">
          <w:rPr>
            <w:rFonts w:asciiTheme="minorHAnsi" w:hAnsiTheme="minorHAnsi" w:cstheme="minorHAnsi"/>
            <w:webHidden/>
            <w:color w:val="808080" w:themeColor="background1" w:themeShade="80"/>
          </w:rPr>
          <w:t>17</w:t>
        </w:r>
        <w:r w:rsidRPr="00FA64B1">
          <w:rPr>
            <w:rFonts w:asciiTheme="minorHAnsi" w:hAnsiTheme="minorHAnsi" w:cstheme="minorHAnsi"/>
            <w:webHidden/>
            <w:color w:val="808080" w:themeColor="background1" w:themeShade="80"/>
          </w:rPr>
          <w:fldChar w:fldCharType="end"/>
        </w:r>
      </w:hyperlink>
    </w:p>
    <w:p w:rsidR="00FD7829" w:rsidRPr="00FA64B1" w:rsidRDefault="00E6670D" w:rsidP="00D113CA">
      <w:pPr>
        <w:pStyle w:val="Spistreci3"/>
        <w:tabs>
          <w:tab w:val="right" w:leader="dot" w:pos="9062"/>
        </w:tabs>
        <w:ind w:firstLine="269"/>
        <w:rPr>
          <w:rFonts w:asciiTheme="minorHAnsi" w:eastAsiaTheme="minorEastAsia" w:hAnsiTheme="minorHAnsi" w:cstheme="minorHAnsi"/>
          <w:noProof/>
          <w:color w:val="808080" w:themeColor="background1" w:themeShade="80"/>
          <w:sz w:val="22"/>
          <w:szCs w:val="22"/>
        </w:rPr>
      </w:pPr>
      <w:hyperlink w:anchor="_Toc511716312" w:history="1">
        <w:r w:rsidR="00FD7829" w:rsidRPr="00FA64B1">
          <w:rPr>
            <w:rStyle w:val="Hipercze"/>
            <w:rFonts w:asciiTheme="minorHAnsi" w:hAnsiTheme="minorHAnsi" w:cstheme="minorHAnsi"/>
            <w:noProof/>
            <w:color w:val="808080" w:themeColor="background1" w:themeShade="80"/>
          </w:rPr>
          <w:t>PRODUKT KRAJOWY BRUTTO</w:t>
        </w:r>
        <w:r w:rsidR="00FD7829" w:rsidRPr="00FA64B1">
          <w:rPr>
            <w:rFonts w:asciiTheme="minorHAnsi" w:hAnsiTheme="minorHAnsi" w:cstheme="minorHAnsi"/>
            <w:noProof/>
            <w:webHidden/>
            <w:color w:val="808080" w:themeColor="background1" w:themeShade="80"/>
          </w:rPr>
          <w:tab/>
        </w:r>
        <w:r w:rsidRPr="00FA64B1">
          <w:rPr>
            <w:rFonts w:asciiTheme="minorHAnsi" w:hAnsiTheme="minorHAnsi" w:cstheme="minorHAnsi"/>
            <w:noProof/>
            <w:webHidden/>
            <w:color w:val="808080" w:themeColor="background1" w:themeShade="80"/>
          </w:rPr>
          <w:fldChar w:fldCharType="begin"/>
        </w:r>
        <w:r w:rsidR="00FD7829" w:rsidRPr="00FA64B1">
          <w:rPr>
            <w:rFonts w:asciiTheme="minorHAnsi" w:hAnsiTheme="minorHAnsi" w:cstheme="minorHAnsi"/>
            <w:noProof/>
            <w:webHidden/>
            <w:color w:val="808080" w:themeColor="background1" w:themeShade="80"/>
          </w:rPr>
          <w:instrText xml:space="preserve"> PAGEREF _Toc511716312 \h </w:instrText>
        </w:r>
        <w:r w:rsidRPr="00FA64B1">
          <w:rPr>
            <w:rFonts w:asciiTheme="minorHAnsi" w:hAnsiTheme="minorHAnsi" w:cstheme="minorHAnsi"/>
            <w:noProof/>
            <w:webHidden/>
            <w:color w:val="808080" w:themeColor="background1" w:themeShade="80"/>
          </w:rPr>
        </w:r>
        <w:r w:rsidRPr="00FA64B1">
          <w:rPr>
            <w:rFonts w:asciiTheme="minorHAnsi" w:hAnsiTheme="minorHAnsi" w:cstheme="minorHAnsi"/>
            <w:noProof/>
            <w:webHidden/>
            <w:color w:val="808080" w:themeColor="background1" w:themeShade="80"/>
          </w:rPr>
          <w:fldChar w:fldCharType="separate"/>
        </w:r>
        <w:r w:rsidR="0013522B">
          <w:rPr>
            <w:rFonts w:asciiTheme="minorHAnsi" w:hAnsiTheme="minorHAnsi" w:cstheme="minorHAnsi"/>
            <w:noProof/>
            <w:webHidden/>
            <w:color w:val="808080" w:themeColor="background1" w:themeShade="80"/>
          </w:rPr>
          <w:t>17</w:t>
        </w:r>
        <w:r w:rsidRPr="00FA64B1">
          <w:rPr>
            <w:rFonts w:asciiTheme="minorHAnsi" w:hAnsiTheme="minorHAnsi" w:cstheme="minorHAnsi"/>
            <w:noProof/>
            <w:webHidden/>
            <w:color w:val="808080" w:themeColor="background1" w:themeShade="80"/>
          </w:rPr>
          <w:fldChar w:fldCharType="end"/>
        </w:r>
      </w:hyperlink>
    </w:p>
    <w:p w:rsidR="00FD7829" w:rsidRPr="00FA64B1" w:rsidRDefault="00E6670D" w:rsidP="00D113CA">
      <w:pPr>
        <w:pStyle w:val="Spistreci3"/>
        <w:tabs>
          <w:tab w:val="right" w:leader="dot" w:pos="9062"/>
        </w:tabs>
        <w:ind w:firstLine="269"/>
        <w:rPr>
          <w:rFonts w:asciiTheme="minorHAnsi" w:eastAsiaTheme="minorEastAsia" w:hAnsiTheme="minorHAnsi" w:cstheme="minorHAnsi"/>
          <w:noProof/>
          <w:color w:val="808080" w:themeColor="background1" w:themeShade="80"/>
          <w:sz w:val="22"/>
          <w:szCs w:val="22"/>
        </w:rPr>
      </w:pPr>
      <w:hyperlink w:anchor="_Toc511716313" w:history="1">
        <w:r w:rsidR="00FD7829" w:rsidRPr="00FA64B1">
          <w:rPr>
            <w:rStyle w:val="Hipercze"/>
            <w:rFonts w:asciiTheme="minorHAnsi" w:hAnsiTheme="minorHAnsi" w:cstheme="minorHAnsi"/>
            <w:noProof/>
            <w:color w:val="808080" w:themeColor="background1" w:themeShade="80"/>
          </w:rPr>
          <w:t>PRZEDSIĘBIORCZOŚĆ I INNOWACYJNOŚĆ</w:t>
        </w:r>
        <w:r w:rsidR="00FD7829" w:rsidRPr="00FA64B1">
          <w:rPr>
            <w:rFonts w:asciiTheme="minorHAnsi" w:hAnsiTheme="minorHAnsi" w:cstheme="minorHAnsi"/>
            <w:noProof/>
            <w:webHidden/>
            <w:color w:val="808080" w:themeColor="background1" w:themeShade="80"/>
          </w:rPr>
          <w:tab/>
        </w:r>
        <w:r w:rsidRPr="00FA64B1">
          <w:rPr>
            <w:rFonts w:asciiTheme="minorHAnsi" w:hAnsiTheme="minorHAnsi" w:cstheme="minorHAnsi"/>
            <w:noProof/>
            <w:webHidden/>
            <w:color w:val="808080" w:themeColor="background1" w:themeShade="80"/>
          </w:rPr>
          <w:fldChar w:fldCharType="begin"/>
        </w:r>
        <w:r w:rsidR="00FD7829" w:rsidRPr="00FA64B1">
          <w:rPr>
            <w:rFonts w:asciiTheme="minorHAnsi" w:hAnsiTheme="minorHAnsi" w:cstheme="minorHAnsi"/>
            <w:noProof/>
            <w:webHidden/>
            <w:color w:val="808080" w:themeColor="background1" w:themeShade="80"/>
          </w:rPr>
          <w:instrText xml:space="preserve"> PAGEREF _Toc511716313 \h </w:instrText>
        </w:r>
        <w:r w:rsidRPr="00FA64B1">
          <w:rPr>
            <w:rFonts w:asciiTheme="minorHAnsi" w:hAnsiTheme="minorHAnsi" w:cstheme="minorHAnsi"/>
            <w:noProof/>
            <w:webHidden/>
            <w:color w:val="808080" w:themeColor="background1" w:themeShade="80"/>
          </w:rPr>
        </w:r>
        <w:r w:rsidRPr="00FA64B1">
          <w:rPr>
            <w:rFonts w:asciiTheme="minorHAnsi" w:hAnsiTheme="minorHAnsi" w:cstheme="minorHAnsi"/>
            <w:noProof/>
            <w:webHidden/>
            <w:color w:val="808080" w:themeColor="background1" w:themeShade="80"/>
          </w:rPr>
          <w:fldChar w:fldCharType="separate"/>
        </w:r>
        <w:r w:rsidR="0013522B">
          <w:rPr>
            <w:rFonts w:asciiTheme="minorHAnsi" w:hAnsiTheme="minorHAnsi" w:cstheme="minorHAnsi"/>
            <w:noProof/>
            <w:webHidden/>
            <w:color w:val="808080" w:themeColor="background1" w:themeShade="80"/>
          </w:rPr>
          <w:t>19</w:t>
        </w:r>
        <w:r w:rsidRPr="00FA64B1">
          <w:rPr>
            <w:rFonts w:asciiTheme="minorHAnsi" w:hAnsiTheme="minorHAnsi" w:cstheme="minorHAnsi"/>
            <w:noProof/>
            <w:webHidden/>
            <w:color w:val="808080" w:themeColor="background1" w:themeShade="80"/>
          </w:rPr>
          <w:fldChar w:fldCharType="end"/>
        </w:r>
      </w:hyperlink>
    </w:p>
    <w:p w:rsidR="00FD7829" w:rsidRPr="00FA64B1" w:rsidRDefault="00E6670D" w:rsidP="00D113CA">
      <w:pPr>
        <w:pStyle w:val="Spistreci3"/>
        <w:tabs>
          <w:tab w:val="right" w:leader="dot" w:pos="9062"/>
        </w:tabs>
        <w:ind w:firstLine="269"/>
        <w:rPr>
          <w:rFonts w:asciiTheme="minorHAnsi" w:eastAsiaTheme="minorEastAsia" w:hAnsiTheme="minorHAnsi" w:cstheme="minorHAnsi"/>
          <w:noProof/>
          <w:color w:val="808080" w:themeColor="background1" w:themeShade="80"/>
          <w:sz w:val="22"/>
          <w:szCs w:val="22"/>
        </w:rPr>
      </w:pPr>
      <w:hyperlink w:anchor="_Toc511716314" w:history="1">
        <w:r w:rsidR="00FD7829" w:rsidRPr="00FA64B1">
          <w:rPr>
            <w:rStyle w:val="Hipercze"/>
            <w:rFonts w:asciiTheme="minorHAnsi" w:hAnsiTheme="minorHAnsi" w:cstheme="minorHAnsi"/>
            <w:noProof/>
            <w:color w:val="808080" w:themeColor="background1" w:themeShade="80"/>
          </w:rPr>
          <w:t>INWESTORZY ZAGRANICZNI I HANDEL ZAGRANICZNY</w:t>
        </w:r>
        <w:r w:rsidR="00FD7829" w:rsidRPr="00FA64B1">
          <w:rPr>
            <w:rFonts w:asciiTheme="minorHAnsi" w:hAnsiTheme="minorHAnsi" w:cstheme="minorHAnsi"/>
            <w:noProof/>
            <w:webHidden/>
            <w:color w:val="808080" w:themeColor="background1" w:themeShade="80"/>
          </w:rPr>
          <w:tab/>
        </w:r>
        <w:r w:rsidRPr="00FA64B1">
          <w:rPr>
            <w:rFonts w:asciiTheme="minorHAnsi" w:hAnsiTheme="minorHAnsi" w:cstheme="minorHAnsi"/>
            <w:noProof/>
            <w:webHidden/>
            <w:color w:val="808080" w:themeColor="background1" w:themeShade="80"/>
          </w:rPr>
          <w:fldChar w:fldCharType="begin"/>
        </w:r>
        <w:r w:rsidR="00FD7829" w:rsidRPr="00FA64B1">
          <w:rPr>
            <w:rFonts w:asciiTheme="minorHAnsi" w:hAnsiTheme="minorHAnsi" w:cstheme="minorHAnsi"/>
            <w:noProof/>
            <w:webHidden/>
            <w:color w:val="808080" w:themeColor="background1" w:themeShade="80"/>
          </w:rPr>
          <w:instrText xml:space="preserve"> PAGEREF _Toc511716314 \h </w:instrText>
        </w:r>
        <w:r w:rsidRPr="00FA64B1">
          <w:rPr>
            <w:rFonts w:asciiTheme="minorHAnsi" w:hAnsiTheme="minorHAnsi" w:cstheme="minorHAnsi"/>
            <w:noProof/>
            <w:webHidden/>
            <w:color w:val="808080" w:themeColor="background1" w:themeShade="80"/>
          </w:rPr>
        </w:r>
        <w:r w:rsidRPr="00FA64B1">
          <w:rPr>
            <w:rFonts w:asciiTheme="minorHAnsi" w:hAnsiTheme="minorHAnsi" w:cstheme="minorHAnsi"/>
            <w:noProof/>
            <w:webHidden/>
            <w:color w:val="808080" w:themeColor="background1" w:themeShade="80"/>
          </w:rPr>
          <w:fldChar w:fldCharType="separate"/>
        </w:r>
        <w:r w:rsidR="0013522B">
          <w:rPr>
            <w:rFonts w:asciiTheme="minorHAnsi" w:hAnsiTheme="minorHAnsi" w:cstheme="minorHAnsi"/>
            <w:noProof/>
            <w:webHidden/>
            <w:color w:val="808080" w:themeColor="background1" w:themeShade="80"/>
          </w:rPr>
          <w:t>21</w:t>
        </w:r>
        <w:r w:rsidRPr="00FA64B1">
          <w:rPr>
            <w:rFonts w:asciiTheme="minorHAnsi" w:hAnsiTheme="minorHAnsi" w:cstheme="minorHAnsi"/>
            <w:noProof/>
            <w:webHidden/>
            <w:color w:val="808080" w:themeColor="background1" w:themeShade="80"/>
          </w:rPr>
          <w:fldChar w:fldCharType="end"/>
        </w:r>
      </w:hyperlink>
    </w:p>
    <w:p w:rsidR="00FD7829" w:rsidRPr="00FA64B1" w:rsidRDefault="00E6670D" w:rsidP="00D113CA">
      <w:pPr>
        <w:pStyle w:val="Spistreci3"/>
        <w:tabs>
          <w:tab w:val="right" w:leader="dot" w:pos="9062"/>
        </w:tabs>
        <w:ind w:firstLine="269"/>
        <w:rPr>
          <w:rFonts w:asciiTheme="minorHAnsi" w:eastAsiaTheme="minorEastAsia" w:hAnsiTheme="minorHAnsi" w:cstheme="minorHAnsi"/>
          <w:noProof/>
          <w:color w:val="808080" w:themeColor="background1" w:themeShade="80"/>
          <w:sz w:val="22"/>
          <w:szCs w:val="22"/>
        </w:rPr>
      </w:pPr>
      <w:hyperlink w:anchor="_Toc511716315" w:history="1">
        <w:r w:rsidR="00FD7829" w:rsidRPr="00FA64B1">
          <w:rPr>
            <w:rStyle w:val="Hipercze"/>
            <w:rFonts w:asciiTheme="minorHAnsi" w:hAnsiTheme="minorHAnsi" w:cstheme="minorHAnsi"/>
            <w:noProof/>
            <w:color w:val="808080" w:themeColor="background1" w:themeShade="80"/>
          </w:rPr>
          <w:t>ROLNICTWO</w:t>
        </w:r>
        <w:r w:rsidR="00FD7829" w:rsidRPr="00FA64B1">
          <w:rPr>
            <w:rFonts w:asciiTheme="minorHAnsi" w:hAnsiTheme="minorHAnsi" w:cstheme="minorHAnsi"/>
            <w:noProof/>
            <w:webHidden/>
            <w:color w:val="808080" w:themeColor="background1" w:themeShade="80"/>
          </w:rPr>
          <w:tab/>
        </w:r>
        <w:r w:rsidRPr="00FA64B1">
          <w:rPr>
            <w:rFonts w:asciiTheme="minorHAnsi" w:hAnsiTheme="minorHAnsi" w:cstheme="minorHAnsi"/>
            <w:noProof/>
            <w:webHidden/>
            <w:color w:val="808080" w:themeColor="background1" w:themeShade="80"/>
          </w:rPr>
          <w:fldChar w:fldCharType="begin"/>
        </w:r>
        <w:r w:rsidR="00FD7829" w:rsidRPr="00FA64B1">
          <w:rPr>
            <w:rFonts w:asciiTheme="minorHAnsi" w:hAnsiTheme="minorHAnsi" w:cstheme="minorHAnsi"/>
            <w:noProof/>
            <w:webHidden/>
            <w:color w:val="808080" w:themeColor="background1" w:themeShade="80"/>
          </w:rPr>
          <w:instrText xml:space="preserve"> PAGEREF _Toc511716315 \h </w:instrText>
        </w:r>
        <w:r w:rsidRPr="00FA64B1">
          <w:rPr>
            <w:rFonts w:asciiTheme="minorHAnsi" w:hAnsiTheme="minorHAnsi" w:cstheme="minorHAnsi"/>
            <w:noProof/>
            <w:webHidden/>
            <w:color w:val="808080" w:themeColor="background1" w:themeShade="80"/>
          </w:rPr>
        </w:r>
        <w:r w:rsidRPr="00FA64B1">
          <w:rPr>
            <w:rFonts w:asciiTheme="minorHAnsi" w:hAnsiTheme="minorHAnsi" w:cstheme="minorHAnsi"/>
            <w:noProof/>
            <w:webHidden/>
            <w:color w:val="808080" w:themeColor="background1" w:themeShade="80"/>
          </w:rPr>
          <w:fldChar w:fldCharType="separate"/>
        </w:r>
        <w:r w:rsidR="0013522B">
          <w:rPr>
            <w:rFonts w:asciiTheme="minorHAnsi" w:hAnsiTheme="minorHAnsi" w:cstheme="minorHAnsi"/>
            <w:noProof/>
            <w:webHidden/>
            <w:color w:val="808080" w:themeColor="background1" w:themeShade="80"/>
          </w:rPr>
          <w:t>22</w:t>
        </w:r>
        <w:r w:rsidRPr="00FA64B1">
          <w:rPr>
            <w:rFonts w:asciiTheme="minorHAnsi" w:hAnsiTheme="minorHAnsi" w:cstheme="minorHAnsi"/>
            <w:noProof/>
            <w:webHidden/>
            <w:color w:val="808080" w:themeColor="background1" w:themeShade="80"/>
          </w:rPr>
          <w:fldChar w:fldCharType="end"/>
        </w:r>
      </w:hyperlink>
    </w:p>
    <w:p w:rsidR="00FD7829" w:rsidRPr="00FA64B1" w:rsidRDefault="00E6670D" w:rsidP="00D113CA">
      <w:pPr>
        <w:pStyle w:val="Spistreci3"/>
        <w:tabs>
          <w:tab w:val="right" w:leader="dot" w:pos="9062"/>
        </w:tabs>
        <w:ind w:firstLine="269"/>
        <w:rPr>
          <w:rFonts w:asciiTheme="minorHAnsi" w:eastAsiaTheme="minorEastAsia" w:hAnsiTheme="minorHAnsi" w:cstheme="minorHAnsi"/>
          <w:noProof/>
          <w:color w:val="808080" w:themeColor="background1" w:themeShade="80"/>
          <w:sz w:val="22"/>
          <w:szCs w:val="22"/>
        </w:rPr>
      </w:pPr>
      <w:hyperlink w:anchor="_Toc511716316" w:history="1">
        <w:r w:rsidR="00FD7829" w:rsidRPr="00FA64B1">
          <w:rPr>
            <w:rStyle w:val="Hipercze"/>
            <w:rFonts w:asciiTheme="minorHAnsi" w:hAnsiTheme="minorHAnsi" w:cstheme="minorHAnsi"/>
            <w:noProof/>
            <w:color w:val="808080" w:themeColor="background1" w:themeShade="80"/>
          </w:rPr>
          <w:t>PRZEMYSŁ I GÓRNICTWO</w:t>
        </w:r>
        <w:r w:rsidR="00FD7829" w:rsidRPr="00FA64B1">
          <w:rPr>
            <w:rFonts w:asciiTheme="minorHAnsi" w:hAnsiTheme="minorHAnsi" w:cstheme="minorHAnsi"/>
            <w:noProof/>
            <w:webHidden/>
            <w:color w:val="808080" w:themeColor="background1" w:themeShade="80"/>
          </w:rPr>
          <w:tab/>
        </w:r>
        <w:r w:rsidRPr="00FA64B1">
          <w:rPr>
            <w:rFonts w:asciiTheme="minorHAnsi" w:hAnsiTheme="minorHAnsi" w:cstheme="minorHAnsi"/>
            <w:noProof/>
            <w:webHidden/>
            <w:color w:val="808080" w:themeColor="background1" w:themeShade="80"/>
          </w:rPr>
          <w:fldChar w:fldCharType="begin"/>
        </w:r>
        <w:r w:rsidR="00FD7829" w:rsidRPr="00FA64B1">
          <w:rPr>
            <w:rFonts w:asciiTheme="minorHAnsi" w:hAnsiTheme="minorHAnsi" w:cstheme="minorHAnsi"/>
            <w:noProof/>
            <w:webHidden/>
            <w:color w:val="808080" w:themeColor="background1" w:themeShade="80"/>
          </w:rPr>
          <w:instrText xml:space="preserve"> PAGEREF _Toc511716316 \h </w:instrText>
        </w:r>
        <w:r w:rsidRPr="00FA64B1">
          <w:rPr>
            <w:rFonts w:asciiTheme="minorHAnsi" w:hAnsiTheme="minorHAnsi" w:cstheme="minorHAnsi"/>
            <w:noProof/>
            <w:webHidden/>
            <w:color w:val="808080" w:themeColor="background1" w:themeShade="80"/>
          </w:rPr>
        </w:r>
        <w:r w:rsidRPr="00FA64B1">
          <w:rPr>
            <w:rFonts w:asciiTheme="minorHAnsi" w:hAnsiTheme="minorHAnsi" w:cstheme="minorHAnsi"/>
            <w:noProof/>
            <w:webHidden/>
            <w:color w:val="808080" w:themeColor="background1" w:themeShade="80"/>
          </w:rPr>
          <w:fldChar w:fldCharType="separate"/>
        </w:r>
        <w:r w:rsidR="0013522B">
          <w:rPr>
            <w:rFonts w:asciiTheme="minorHAnsi" w:hAnsiTheme="minorHAnsi" w:cstheme="minorHAnsi"/>
            <w:noProof/>
            <w:webHidden/>
            <w:color w:val="808080" w:themeColor="background1" w:themeShade="80"/>
          </w:rPr>
          <w:t>23</w:t>
        </w:r>
        <w:r w:rsidRPr="00FA64B1">
          <w:rPr>
            <w:rFonts w:asciiTheme="minorHAnsi" w:hAnsiTheme="minorHAnsi" w:cstheme="minorHAnsi"/>
            <w:noProof/>
            <w:webHidden/>
            <w:color w:val="808080" w:themeColor="background1" w:themeShade="80"/>
          </w:rPr>
          <w:fldChar w:fldCharType="end"/>
        </w:r>
      </w:hyperlink>
    </w:p>
    <w:p w:rsidR="00FD7829" w:rsidRPr="00FA64B1" w:rsidRDefault="00E6670D">
      <w:pPr>
        <w:pStyle w:val="Spistreci2"/>
        <w:rPr>
          <w:rFonts w:asciiTheme="minorHAnsi" w:eastAsiaTheme="minorEastAsia" w:hAnsiTheme="minorHAnsi" w:cstheme="minorHAnsi"/>
          <w:iCs w:val="0"/>
          <w:color w:val="808080" w:themeColor="background1" w:themeShade="80"/>
          <w:sz w:val="22"/>
          <w:szCs w:val="22"/>
        </w:rPr>
      </w:pPr>
      <w:hyperlink w:anchor="_Toc511716317" w:history="1">
        <w:r w:rsidR="00FD7829" w:rsidRPr="00FA64B1">
          <w:rPr>
            <w:rStyle w:val="Hipercze"/>
            <w:rFonts w:asciiTheme="minorHAnsi" w:hAnsiTheme="minorHAnsi" w:cstheme="minorHAnsi"/>
            <w:color w:val="808080" w:themeColor="background1" w:themeShade="80"/>
          </w:rPr>
          <w:t>1.5.</w:t>
        </w:r>
        <w:r w:rsidR="00FD7829" w:rsidRPr="00FA64B1">
          <w:rPr>
            <w:rFonts w:asciiTheme="minorHAnsi" w:eastAsiaTheme="minorEastAsia" w:hAnsiTheme="minorHAnsi" w:cstheme="minorHAnsi"/>
            <w:iCs w:val="0"/>
            <w:color w:val="808080" w:themeColor="background1" w:themeShade="80"/>
            <w:sz w:val="22"/>
            <w:szCs w:val="22"/>
          </w:rPr>
          <w:tab/>
        </w:r>
        <w:r w:rsidR="00FD7829" w:rsidRPr="00FA64B1">
          <w:rPr>
            <w:rStyle w:val="Hipercze"/>
            <w:rFonts w:asciiTheme="minorHAnsi" w:hAnsiTheme="minorHAnsi" w:cstheme="minorHAnsi"/>
            <w:color w:val="808080" w:themeColor="background1" w:themeShade="80"/>
          </w:rPr>
          <w:t>INFRASTRUKTURA TECHNICZNA</w:t>
        </w:r>
        <w:r w:rsidR="00FD7829" w:rsidRPr="00FA64B1">
          <w:rPr>
            <w:rFonts w:asciiTheme="minorHAnsi" w:hAnsiTheme="minorHAnsi" w:cstheme="minorHAnsi"/>
            <w:webHidden/>
            <w:color w:val="808080" w:themeColor="background1" w:themeShade="80"/>
          </w:rPr>
          <w:tab/>
        </w:r>
        <w:r w:rsidRPr="00FA64B1">
          <w:rPr>
            <w:rFonts w:asciiTheme="minorHAnsi" w:hAnsiTheme="minorHAnsi" w:cstheme="minorHAnsi"/>
            <w:webHidden/>
            <w:color w:val="808080" w:themeColor="background1" w:themeShade="80"/>
          </w:rPr>
          <w:fldChar w:fldCharType="begin"/>
        </w:r>
        <w:r w:rsidR="00FD7829" w:rsidRPr="00FA64B1">
          <w:rPr>
            <w:rFonts w:asciiTheme="minorHAnsi" w:hAnsiTheme="minorHAnsi" w:cstheme="minorHAnsi"/>
            <w:webHidden/>
            <w:color w:val="808080" w:themeColor="background1" w:themeShade="80"/>
          </w:rPr>
          <w:instrText xml:space="preserve"> PAGEREF _Toc511716317 \h </w:instrText>
        </w:r>
        <w:r w:rsidRPr="00FA64B1">
          <w:rPr>
            <w:rFonts w:asciiTheme="minorHAnsi" w:hAnsiTheme="minorHAnsi" w:cstheme="minorHAnsi"/>
            <w:webHidden/>
            <w:color w:val="808080" w:themeColor="background1" w:themeShade="80"/>
          </w:rPr>
        </w:r>
        <w:r w:rsidRPr="00FA64B1">
          <w:rPr>
            <w:rFonts w:asciiTheme="minorHAnsi" w:hAnsiTheme="minorHAnsi" w:cstheme="minorHAnsi"/>
            <w:webHidden/>
            <w:color w:val="808080" w:themeColor="background1" w:themeShade="80"/>
          </w:rPr>
          <w:fldChar w:fldCharType="separate"/>
        </w:r>
        <w:r w:rsidR="0013522B">
          <w:rPr>
            <w:rFonts w:asciiTheme="minorHAnsi" w:hAnsiTheme="minorHAnsi" w:cstheme="minorHAnsi"/>
            <w:webHidden/>
            <w:color w:val="808080" w:themeColor="background1" w:themeShade="80"/>
          </w:rPr>
          <w:t>24</w:t>
        </w:r>
        <w:r w:rsidRPr="00FA64B1">
          <w:rPr>
            <w:rFonts w:asciiTheme="minorHAnsi" w:hAnsiTheme="minorHAnsi" w:cstheme="minorHAnsi"/>
            <w:webHidden/>
            <w:color w:val="808080" w:themeColor="background1" w:themeShade="80"/>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18" w:history="1">
        <w:r w:rsidR="00FD7829" w:rsidRPr="00683C4B">
          <w:rPr>
            <w:rStyle w:val="Hipercze"/>
          </w:rPr>
          <w:t>1.6.</w:t>
        </w:r>
        <w:r w:rsidR="00FD7829">
          <w:rPr>
            <w:rFonts w:asciiTheme="minorHAnsi" w:eastAsiaTheme="minorEastAsia" w:hAnsiTheme="minorHAnsi" w:cstheme="minorBidi"/>
            <w:iCs w:val="0"/>
            <w:color w:val="auto"/>
            <w:sz w:val="22"/>
            <w:szCs w:val="22"/>
          </w:rPr>
          <w:tab/>
        </w:r>
        <w:r w:rsidR="00FD7829" w:rsidRPr="00683C4B">
          <w:rPr>
            <w:rStyle w:val="Hipercze"/>
          </w:rPr>
          <w:t>SYSTEM KOMUNIKACJI I DOSTĘPNOŚĆ TRANSPORTOWA</w:t>
        </w:r>
        <w:r w:rsidR="00FD7829">
          <w:rPr>
            <w:webHidden/>
          </w:rPr>
          <w:tab/>
        </w:r>
        <w:r>
          <w:rPr>
            <w:webHidden/>
          </w:rPr>
          <w:fldChar w:fldCharType="begin"/>
        </w:r>
        <w:r w:rsidR="00FD7829">
          <w:rPr>
            <w:webHidden/>
          </w:rPr>
          <w:instrText xml:space="preserve"> PAGEREF _Toc511716318 \h </w:instrText>
        </w:r>
        <w:r>
          <w:rPr>
            <w:webHidden/>
          </w:rPr>
        </w:r>
        <w:r>
          <w:rPr>
            <w:webHidden/>
          </w:rPr>
          <w:fldChar w:fldCharType="separate"/>
        </w:r>
        <w:r w:rsidR="0013522B">
          <w:rPr>
            <w:webHidden/>
          </w:rPr>
          <w:t>26</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19" w:history="1">
        <w:r w:rsidR="00FD7829" w:rsidRPr="00683C4B">
          <w:rPr>
            <w:rStyle w:val="Hipercze"/>
          </w:rPr>
          <w:t>1.7.</w:t>
        </w:r>
        <w:r w:rsidR="00FD7829">
          <w:rPr>
            <w:rFonts w:asciiTheme="minorHAnsi" w:eastAsiaTheme="minorEastAsia" w:hAnsiTheme="minorHAnsi" w:cstheme="minorBidi"/>
            <w:iCs w:val="0"/>
            <w:color w:val="auto"/>
            <w:sz w:val="22"/>
            <w:szCs w:val="22"/>
          </w:rPr>
          <w:tab/>
        </w:r>
        <w:r w:rsidR="00FD7829" w:rsidRPr="00683C4B">
          <w:rPr>
            <w:rStyle w:val="Hipercze"/>
          </w:rPr>
          <w:t>FINANSE JEDNOSTEK SAMORZĄDU TERYTORIALNEGO</w:t>
        </w:r>
        <w:r w:rsidR="00FD7829">
          <w:rPr>
            <w:webHidden/>
          </w:rPr>
          <w:tab/>
        </w:r>
        <w:r>
          <w:rPr>
            <w:webHidden/>
          </w:rPr>
          <w:fldChar w:fldCharType="begin"/>
        </w:r>
        <w:r w:rsidR="00FD7829">
          <w:rPr>
            <w:webHidden/>
          </w:rPr>
          <w:instrText xml:space="preserve"> PAGEREF _Toc511716319 \h </w:instrText>
        </w:r>
        <w:r>
          <w:rPr>
            <w:webHidden/>
          </w:rPr>
        </w:r>
        <w:r>
          <w:rPr>
            <w:webHidden/>
          </w:rPr>
          <w:fldChar w:fldCharType="separate"/>
        </w:r>
        <w:r w:rsidR="0013522B">
          <w:rPr>
            <w:webHidden/>
          </w:rPr>
          <w:t>29</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20" w:history="1">
        <w:r w:rsidR="00FD7829" w:rsidRPr="00683C4B">
          <w:rPr>
            <w:rStyle w:val="Hipercze"/>
          </w:rPr>
          <w:t>1.8.</w:t>
        </w:r>
        <w:r w:rsidR="00FD7829">
          <w:rPr>
            <w:rFonts w:asciiTheme="minorHAnsi" w:eastAsiaTheme="minorEastAsia" w:hAnsiTheme="minorHAnsi" w:cstheme="minorBidi"/>
            <w:iCs w:val="0"/>
            <w:color w:val="auto"/>
            <w:sz w:val="22"/>
            <w:szCs w:val="22"/>
          </w:rPr>
          <w:tab/>
        </w:r>
        <w:r w:rsidR="00FD7829" w:rsidRPr="00683C4B">
          <w:rPr>
            <w:rStyle w:val="Hipercze"/>
          </w:rPr>
          <w:t xml:space="preserve">POTENCJAŁY I BARIERY ROZWOJOWE W UKŁADZIE </w:t>
        </w:r>
        <w:r w:rsidR="007B740D">
          <w:rPr>
            <w:rStyle w:val="Hipercze"/>
          </w:rPr>
          <w:t>SUB</w:t>
        </w:r>
        <w:r w:rsidR="00FD7829" w:rsidRPr="00683C4B">
          <w:rPr>
            <w:rStyle w:val="Hipercze"/>
          </w:rPr>
          <w:t>REGIONÓW</w:t>
        </w:r>
        <w:r w:rsidR="00FD7829">
          <w:rPr>
            <w:webHidden/>
          </w:rPr>
          <w:tab/>
        </w:r>
        <w:r>
          <w:rPr>
            <w:webHidden/>
          </w:rPr>
          <w:fldChar w:fldCharType="begin"/>
        </w:r>
        <w:r w:rsidR="00FD7829">
          <w:rPr>
            <w:webHidden/>
          </w:rPr>
          <w:instrText xml:space="preserve"> PAGEREF _Toc511716320 \h </w:instrText>
        </w:r>
        <w:r>
          <w:rPr>
            <w:webHidden/>
          </w:rPr>
        </w:r>
        <w:r>
          <w:rPr>
            <w:webHidden/>
          </w:rPr>
          <w:fldChar w:fldCharType="separate"/>
        </w:r>
        <w:r w:rsidR="0013522B">
          <w:rPr>
            <w:webHidden/>
          </w:rPr>
          <w:t>30</w:t>
        </w:r>
        <w:r>
          <w:rPr>
            <w:webHidden/>
          </w:rPr>
          <w:fldChar w:fldCharType="end"/>
        </w:r>
      </w:hyperlink>
    </w:p>
    <w:p w:rsidR="00FD7829" w:rsidRDefault="00E6670D" w:rsidP="005B6AFA">
      <w:pPr>
        <w:pStyle w:val="Spistreci1"/>
        <w:rPr>
          <w:rFonts w:asciiTheme="minorHAnsi" w:eastAsiaTheme="minorEastAsia" w:hAnsiTheme="minorHAnsi" w:cstheme="minorBidi"/>
          <w:color w:val="auto"/>
          <w:sz w:val="22"/>
          <w:szCs w:val="22"/>
        </w:rPr>
      </w:pPr>
      <w:hyperlink w:anchor="_Toc511716321" w:history="1">
        <w:r w:rsidR="00FD7829" w:rsidRPr="00683C4B">
          <w:rPr>
            <w:rStyle w:val="Hipercze"/>
          </w:rPr>
          <w:t>2. SCENARIUSZE ROZWOJU REGIONU</w:t>
        </w:r>
        <w:r w:rsidR="00FD7829">
          <w:rPr>
            <w:webHidden/>
          </w:rPr>
          <w:tab/>
        </w:r>
        <w:r>
          <w:rPr>
            <w:webHidden/>
          </w:rPr>
          <w:fldChar w:fldCharType="begin"/>
        </w:r>
        <w:r w:rsidR="00FD7829">
          <w:rPr>
            <w:webHidden/>
          </w:rPr>
          <w:instrText xml:space="preserve"> PAGEREF _Toc511716321 \h </w:instrText>
        </w:r>
        <w:r>
          <w:rPr>
            <w:webHidden/>
          </w:rPr>
        </w:r>
        <w:r>
          <w:rPr>
            <w:webHidden/>
          </w:rPr>
          <w:fldChar w:fldCharType="separate"/>
        </w:r>
        <w:r w:rsidR="0013522B">
          <w:rPr>
            <w:webHidden/>
          </w:rPr>
          <w:t>32</w:t>
        </w:r>
        <w:r>
          <w:rPr>
            <w:webHidden/>
          </w:rPr>
          <w:fldChar w:fldCharType="end"/>
        </w:r>
      </w:hyperlink>
    </w:p>
    <w:p w:rsidR="00FD7829" w:rsidRDefault="00E6670D" w:rsidP="005B6AFA">
      <w:pPr>
        <w:pStyle w:val="Spistreci1"/>
        <w:rPr>
          <w:rFonts w:asciiTheme="minorHAnsi" w:eastAsiaTheme="minorEastAsia" w:hAnsiTheme="minorHAnsi" w:cstheme="minorBidi"/>
          <w:color w:val="auto"/>
          <w:sz w:val="22"/>
          <w:szCs w:val="22"/>
        </w:rPr>
      </w:pPr>
      <w:hyperlink w:anchor="_Toc511716322" w:history="1">
        <w:r w:rsidR="00FD7829" w:rsidRPr="00683C4B">
          <w:rPr>
            <w:rStyle w:val="Hipercze"/>
          </w:rPr>
          <w:t>3. Wizja, misja i cele strategiczne rozwoju regionu</w:t>
        </w:r>
        <w:r w:rsidR="00FD7829">
          <w:rPr>
            <w:webHidden/>
          </w:rPr>
          <w:tab/>
        </w:r>
        <w:r>
          <w:rPr>
            <w:webHidden/>
          </w:rPr>
          <w:fldChar w:fldCharType="begin"/>
        </w:r>
        <w:r w:rsidR="00FD7829">
          <w:rPr>
            <w:webHidden/>
          </w:rPr>
          <w:instrText xml:space="preserve"> PAGEREF _Toc511716322 \h </w:instrText>
        </w:r>
        <w:r>
          <w:rPr>
            <w:webHidden/>
          </w:rPr>
        </w:r>
        <w:r>
          <w:rPr>
            <w:webHidden/>
          </w:rPr>
          <w:fldChar w:fldCharType="separate"/>
        </w:r>
        <w:r w:rsidR="0013522B">
          <w:rPr>
            <w:webHidden/>
          </w:rPr>
          <w:t>34</w:t>
        </w:r>
        <w:r>
          <w:rPr>
            <w:webHidden/>
          </w:rPr>
          <w:fldChar w:fldCharType="end"/>
        </w:r>
      </w:hyperlink>
    </w:p>
    <w:p w:rsidR="00FD7829" w:rsidRDefault="00E6670D" w:rsidP="005B6AFA">
      <w:pPr>
        <w:pStyle w:val="Spistreci1"/>
        <w:rPr>
          <w:rFonts w:asciiTheme="minorHAnsi" w:eastAsiaTheme="minorEastAsia" w:hAnsiTheme="minorHAnsi" w:cstheme="minorBidi"/>
          <w:color w:val="auto"/>
          <w:sz w:val="22"/>
          <w:szCs w:val="22"/>
        </w:rPr>
      </w:pPr>
      <w:hyperlink w:anchor="_Toc511716323" w:history="1">
        <w:r w:rsidR="00FD7829" w:rsidRPr="00683C4B">
          <w:rPr>
            <w:rStyle w:val="Hipercze"/>
          </w:rPr>
          <w:t>4. Terytorialny wymiar polityki rozwoju</w:t>
        </w:r>
        <w:r w:rsidR="00FD7829">
          <w:rPr>
            <w:webHidden/>
          </w:rPr>
          <w:tab/>
        </w:r>
        <w:r>
          <w:rPr>
            <w:webHidden/>
          </w:rPr>
          <w:fldChar w:fldCharType="begin"/>
        </w:r>
        <w:r w:rsidR="00FD7829">
          <w:rPr>
            <w:webHidden/>
          </w:rPr>
          <w:instrText xml:space="preserve"> PAGEREF _Toc511716323 \h </w:instrText>
        </w:r>
        <w:r>
          <w:rPr>
            <w:webHidden/>
          </w:rPr>
        </w:r>
        <w:r>
          <w:rPr>
            <w:webHidden/>
          </w:rPr>
          <w:fldChar w:fldCharType="separate"/>
        </w:r>
        <w:r w:rsidR="0013522B">
          <w:rPr>
            <w:webHidden/>
          </w:rPr>
          <w:t>40</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24" w:history="1">
        <w:r w:rsidR="00FD7829" w:rsidRPr="00683C4B">
          <w:rPr>
            <w:rStyle w:val="Hipercze"/>
          </w:rPr>
          <w:t>4.1 POZIOM KRAJOWY</w:t>
        </w:r>
        <w:r w:rsidR="00FD7829">
          <w:rPr>
            <w:webHidden/>
          </w:rPr>
          <w:tab/>
        </w:r>
        <w:r>
          <w:rPr>
            <w:webHidden/>
          </w:rPr>
          <w:fldChar w:fldCharType="begin"/>
        </w:r>
        <w:r w:rsidR="00FD7829">
          <w:rPr>
            <w:webHidden/>
          </w:rPr>
          <w:instrText xml:space="preserve"> PAGEREF _Toc511716324 \h </w:instrText>
        </w:r>
        <w:r>
          <w:rPr>
            <w:webHidden/>
          </w:rPr>
        </w:r>
        <w:r>
          <w:rPr>
            <w:webHidden/>
          </w:rPr>
          <w:fldChar w:fldCharType="separate"/>
        </w:r>
        <w:r w:rsidR="0013522B">
          <w:rPr>
            <w:webHidden/>
          </w:rPr>
          <w:t>40</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25" w:history="1">
        <w:r w:rsidR="00FD7829" w:rsidRPr="00683C4B">
          <w:rPr>
            <w:rStyle w:val="Hipercze"/>
          </w:rPr>
          <w:t>4.2 POZIOM REGIONALNY</w:t>
        </w:r>
        <w:r w:rsidR="00FD7829">
          <w:rPr>
            <w:webHidden/>
          </w:rPr>
          <w:tab/>
        </w:r>
        <w:r>
          <w:rPr>
            <w:webHidden/>
          </w:rPr>
          <w:fldChar w:fldCharType="begin"/>
        </w:r>
        <w:r w:rsidR="00FD7829">
          <w:rPr>
            <w:webHidden/>
          </w:rPr>
          <w:instrText xml:space="preserve"> PAGEREF _Toc511716325 \h </w:instrText>
        </w:r>
        <w:r>
          <w:rPr>
            <w:webHidden/>
          </w:rPr>
        </w:r>
        <w:r>
          <w:rPr>
            <w:webHidden/>
          </w:rPr>
          <w:fldChar w:fldCharType="separate"/>
        </w:r>
        <w:r w:rsidR="0013522B">
          <w:rPr>
            <w:webHidden/>
          </w:rPr>
          <w:t>43</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26" w:history="1">
        <w:r w:rsidR="00FD7829" w:rsidRPr="00683C4B">
          <w:rPr>
            <w:rStyle w:val="Hipercze"/>
          </w:rPr>
          <w:t>4.3 MACIERZ KIERUNKÓW INTERWENCJI</w:t>
        </w:r>
        <w:r w:rsidR="00FD7829">
          <w:rPr>
            <w:webHidden/>
          </w:rPr>
          <w:tab/>
        </w:r>
        <w:r>
          <w:rPr>
            <w:webHidden/>
          </w:rPr>
          <w:fldChar w:fldCharType="begin"/>
        </w:r>
        <w:r w:rsidR="00FD7829">
          <w:rPr>
            <w:webHidden/>
          </w:rPr>
          <w:instrText xml:space="preserve"> PAGEREF _Toc511716326 \h </w:instrText>
        </w:r>
        <w:r>
          <w:rPr>
            <w:webHidden/>
          </w:rPr>
        </w:r>
        <w:r>
          <w:rPr>
            <w:webHidden/>
          </w:rPr>
          <w:fldChar w:fldCharType="separate"/>
        </w:r>
        <w:r w:rsidR="0013522B">
          <w:rPr>
            <w:webHidden/>
          </w:rPr>
          <w:t>45</w:t>
        </w:r>
        <w:r>
          <w:rPr>
            <w:webHidden/>
          </w:rPr>
          <w:fldChar w:fldCharType="end"/>
        </w:r>
      </w:hyperlink>
    </w:p>
    <w:p w:rsidR="00FD7829" w:rsidRDefault="00E6670D" w:rsidP="005B6AFA">
      <w:pPr>
        <w:pStyle w:val="Spistreci1"/>
        <w:rPr>
          <w:rFonts w:asciiTheme="minorHAnsi" w:eastAsiaTheme="minorEastAsia" w:hAnsiTheme="minorHAnsi" w:cstheme="minorBidi"/>
          <w:color w:val="auto"/>
          <w:sz w:val="22"/>
          <w:szCs w:val="22"/>
        </w:rPr>
      </w:pPr>
      <w:hyperlink w:anchor="_Toc511716327" w:history="1">
        <w:r w:rsidR="00FD7829" w:rsidRPr="00683C4B">
          <w:rPr>
            <w:rStyle w:val="Hipercze"/>
          </w:rPr>
          <w:t>5.</w:t>
        </w:r>
        <w:r w:rsidR="00FD7829">
          <w:rPr>
            <w:rFonts w:asciiTheme="minorHAnsi" w:eastAsiaTheme="minorEastAsia" w:hAnsiTheme="minorHAnsi" w:cstheme="minorBidi"/>
            <w:color w:val="auto"/>
            <w:sz w:val="22"/>
            <w:szCs w:val="22"/>
          </w:rPr>
          <w:tab/>
        </w:r>
        <w:r w:rsidR="00FD7829" w:rsidRPr="00683C4B">
          <w:rPr>
            <w:rStyle w:val="Hipercze"/>
          </w:rPr>
          <w:t>Ramy finansowe Strategii rozwoju województwa dolnośląskiego 2030</w:t>
        </w:r>
        <w:r w:rsidR="00FD7829">
          <w:rPr>
            <w:webHidden/>
          </w:rPr>
          <w:tab/>
        </w:r>
        <w:r>
          <w:rPr>
            <w:webHidden/>
          </w:rPr>
          <w:fldChar w:fldCharType="begin"/>
        </w:r>
        <w:r w:rsidR="00FD7829">
          <w:rPr>
            <w:webHidden/>
          </w:rPr>
          <w:instrText xml:space="preserve"> PAGEREF _Toc511716327 \h </w:instrText>
        </w:r>
        <w:r>
          <w:rPr>
            <w:webHidden/>
          </w:rPr>
        </w:r>
        <w:r>
          <w:rPr>
            <w:webHidden/>
          </w:rPr>
          <w:fldChar w:fldCharType="separate"/>
        </w:r>
        <w:r w:rsidR="0013522B">
          <w:rPr>
            <w:webHidden/>
          </w:rPr>
          <w:t>47</w:t>
        </w:r>
        <w:r>
          <w:rPr>
            <w:webHidden/>
          </w:rPr>
          <w:fldChar w:fldCharType="end"/>
        </w:r>
      </w:hyperlink>
    </w:p>
    <w:p w:rsidR="00FD7829" w:rsidRDefault="00E6670D" w:rsidP="005B6AFA">
      <w:pPr>
        <w:pStyle w:val="Spistreci1"/>
        <w:rPr>
          <w:rFonts w:asciiTheme="minorHAnsi" w:eastAsiaTheme="minorEastAsia" w:hAnsiTheme="minorHAnsi" w:cstheme="minorBidi"/>
          <w:color w:val="auto"/>
          <w:sz w:val="22"/>
          <w:szCs w:val="22"/>
        </w:rPr>
      </w:pPr>
      <w:hyperlink w:anchor="_Toc511716328" w:history="1">
        <w:r w:rsidR="00FD7829" w:rsidRPr="00683C4B">
          <w:rPr>
            <w:rStyle w:val="Hipercze"/>
          </w:rPr>
          <w:t>6. System wdrażania SRWD 2030</w:t>
        </w:r>
        <w:r w:rsidR="00FD7829">
          <w:rPr>
            <w:webHidden/>
          </w:rPr>
          <w:tab/>
        </w:r>
        <w:r>
          <w:rPr>
            <w:webHidden/>
          </w:rPr>
          <w:fldChar w:fldCharType="begin"/>
        </w:r>
        <w:r w:rsidR="00FD7829">
          <w:rPr>
            <w:webHidden/>
          </w:rPr>
          <w:instrText xml:space="preserve"> PAGEREF _Toc511716328 \h </w:instrText>
        </w:r>
        <w:r>
          <w:rPr>
            <w:webHidden/>
          </w:rPr>
        </w:r>
        <w:r>
          <w:rPr>
            <w:webHidden/>
          </w:rPr>
          <w:fldChar w:fldCharType="separate"/>
        </w:r>
        <w:r w:rsidR="0013522B">
          <w:rPr>
            <w:webHidden/>
          </w:rPr>
          <w:t>49</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29" w:history="1">
        <w:r w:rsidR="00FD7829" w:rsidRPr="00683C4B">
          <w:rPr>
            <w:rStyle w:val="Hipercze"/>
          </w:rPr>
          <w:t>6.1 ZASADY WDRAŻANIA</w:t>
        </w:r>
        <w:r w:rsidR="00FD7829">
          <w:rPr>
            <w:webHidden/>
          </w:rPr>
          <w:tab/>
        </w:r>
        <w:r>
          <w:rPr>
            <w:webHidden/>
          </w:rPr>
          <w:fldChar w:fldCharType="begin"/>
        </w:r>
        <w:r w:rsidR="00FD7829">
          <w:rPr>
            <w:webHidden/>
          </w:rPr>
          <w:instrText xml:space="preserve"> PAGEREF _Toc511716329 \h </w:instrText>
        </w:r>
        <w:r>
          <w:rPr>
            <w:webHidden/>
          </w:rPr>
        </w:r>
        <w:r>
          <w:rPr>
            <w:webHidden/>
          </w:rPr>
          <w:fldChar w:fldCharType="separate"/>
        </w:r>
        <w:r w:rsidR="0013522B">
          <w:rPr>
            <w:webHidden/>
          </w:rPr>
          <w:t>49</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30" w:history="1">
        <w:r w:rsidR="00FD7829" w:rsidRPr="00683C4B">
          <w:rPr>
            <w:rStyle w:val="Hipercze"/>
          </w:rPr>
          <w:t>6.2 PROGRAMOWANIE ROZWOJU</w:t>
        </w:r>
        <w:r w:rsidR="00FD7829">
          <w:rPr>
            <w:webHidden/>
          </w:rPr>
          <w:tab/>
        </w:r>
        <w:r>
          <w:rPr>
            <w:webHidden/>
          </w:rPr>
          <w:fldChar w:fldCharType="begin"/>
        </w:r>
        <w:r w:rsidR="00FD7829">
          <w:rPr>
            <w:webHidden/>
          </w:rPr>
          <w:instrText xml:space="preserve"> PAGEREF _Toc511716330 \h </w:instrText>
        </w:r>
        <w:r>
          <w:rPr>
            <w:webHidden/>
          </w:rPr>
        </w:r>
        <w:r>
          <w:rPr>
            <w:webHidden/>
          </w:rPr>
          <w:fldChar w:fldCharType="separate"/>
        </w:r>
        <w:r w:rsidR="0013522B">
          <w:rPr>
            <w:webHidden/>
          </w:rPr>
          <w:t>50</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31" w:history="1">
        <w:r w:rsidR="00FD7829" w:rsidRPr="00683C4B">
          <w:rPr>
            <w:rStyle w:val="Hipercze"/>
          </w:rPr>
          <w:t>6.3 INSTYTUCJE WDRAŻAJĄCE</w:t>
        </w:r>
        <w:r w:rsidR="00FD7829">
          <w:rPr>
            <w:webHidden/>
          </w:rPr>
          <w:tab/>
        </w:r>
        <w:r>
          <w:rPr>
            <w:webHidden/>
          </w:rPr>
          <w:fldChar w:fldCharType="begin"/>
        </w:r>
        <w:r w:rsidR="00FD7829">
          <w:rPr>
            <w:webHidden/>
          </w:rPr>
          <w:instrText xml:space="preserve"> PAGEREF _Toc511716331 \h </w:instrText>
        </w:r>
        <w:r>
          <w:rPr>
            <w:webHidden/>
          </w:rPr>
        </w:r>
        <w:r>
          <w:rPr>
            <w:webHidden/>
          </w:rPr>
          <w:fldChar w:fldCharType="separate"/>
        </w:r>
        <w:r w:rsidR="0013522B">
          <w:rPr>
            <w:webHidden/>
          </w:rPr>
          <w:t>51</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32" w:history="1">
        <w:r w:rsidR="00FD7829" w:rsidRPr="00683C4B">
          <w:rPr>
            <w:rStyle w:val="Hipercze"/>
          </w:rPr>
          <w:t>6.4 KOMPETENCJE PRAWNE SAMORZĄDU WOJEWÓDZTWA DOLNOŚLĄSKIEGO</w:t>
        </w:r>
        <w:r w:rsidR="00FD7829">
          <w:rPr>
            <w:webHidden/>
          </w:rPr>
          <w:tab/>
        </w:r>
        <w:r>
          <w:rPr>
            <w:webHidden/>
          </w:rPr>
          <w:fldChar w:fldCharType="begin"/>
        </w:r>
        <w:r w:rsidR="00FD7829">
          <w:rPr>
            <w:webHidden/>
          </w:rPr>
          <w:instrText xml:space="preserve"> PAGEREF _Toc511716332 \h </w:instrText>
        </w:r>
        <w:r>
          <w:rPr>
            <w:webHidden/>
          </w:rPr>
        </w:r>
        <w:r>
          <w:rPr>
            <w:webHidden/>
          </w:rPr>
          <w:fldChar w:fldCharType="separate"/>
        </w:r>
        <w:r w:rsidR="0013522B">
          <w:rPr>
            <w:webHidden/>
          </w:rPr>
          <w:t>52</w:t>
        </w:r>
        <w:r>
          <w:rPr>
            <w:webHidden/>
          </w:rPr>
          <w:fldChar w:fldCharType="end"/>
        </w:r>
      </w:hyperlink>
    </w:p>
    <w:p w:rsidR="00FD7829" w:rsidRDefault="00E6670D" w:rsidP="005B6AFA">
      <w:pPr>
        <w:pStyle w:val="Spistreci1"/>
        <w:rPr>
          <w:rFonts w:asciiTheme="minorHAnsi" w:eastAsiaTheme="minorEastAsia" w:hAnsiTheme="minorHAnsi" w:cstheme="minorBidi"/>
          <w:color w:val="auto"/>
          <w:sz w:val="22"/>
          <w:szCs w:val="22"/>
        </w:rPr>
      </w:pPr>
      <w:hyperlink w:anchor="_Toc511716333" w:history="1">
        <w:r w:rsidR="00FD7829" w:rsidRPr="00683C4B">
          <w:rPr>
            <w:rStyle w:val="Hipercze"/>
          </w:rPr>
          <w:t>7. Monitoring i ewaluacja SRWD</w:t>
        </w:r>
        <w:r w:rsidR="00FD7829">
          <w:rPr>
            <w:webHidden/>
          </w:rPr>
          <w:tab/>
        </w:r>
        <w:r>
          <w:rPr>
            <w:webHidden/>
          </w:rPr>
          <w:fldChar w:fldCharType="begin"/>
        </w:r>
        <w:r w:rsidR="00FD7829">
          <w:rPr>
            <w:webHidden/>
          </w:rPr>
          <w:instrText xml:space="preserve"> PAGEREF _Toc511716333 \h </w:instrText>
        </w:r>
        <w:r>
          <w:rPr>
            <w:webHidden/>
          </w:rPr>
        </w:r>
        <w:r>
          <w:rPr>
            <w:webHidden/>
          </w:rPr>
          <w:fldChar w:fldCharType="separate"/>
        </w:r>
        <w:r w:rsidR="0013522B">
          <w:rPr>
            <w:webHidden/>
          </w:rPr>
          <w:t>57</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34" w:history="1">
        <w:r w:rsidR="00FD7829" w:rsidRPr="00683C4B">
          <w:rPr>
            <w:rStyle w:val="Hipercze"/>
          </w:rPr>
          <w:t>7.1 SYSTEM MONITORINGU I EWALUACJI</w:t>
        </w:r>
        <w:r w:rsidR="00FD7829">
          <w:rPr>
            <w:webHidden/>
          </w:rPr>
          <w:tab/>
        </w:r>
        <w:r>
          <w:rPr>
            <w:webHidden/>
          </w:rPr>
          <w:fldChar w:fldCharType="begin"/>
        </w:r>
        <w:r w:rsidR="00FD7829">
          <w:rPr>
            <w:webHidden/>
          </w:rPr>
          <w:instrText xml:space="preserve"> PAGEREF _Toc511716334 \h </w:instrText>
        </w:r>
        <w:r>
          <w:rPr>
            <w:webHidden/>
          </w:rPr>
        </w:r>
        <w:r>
          <w:rPr>
            <w:webHidden/>
          </w:rPr>
          <w:fldChar w:fldCharType="separate"/>
        </w:r>
        <w:r w:rsidR="0013522B">
          <w:rPr>
            <w:webHidden/>
          </w:rPr>
          <w:t>57</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35" w:history="1">
        <w:r w:rsidR="00FD7829" w:rsidRPr="00683C4B">
          <w:rPr>
            <w:rStyle w:val="Hipercze"/>
          </w:rPr>
          <w:t>7.2 ZAŁOŻENIA INSTYTUCJONALNE</w:t>
        </w:r>
        <w:r w:rsidR="00FD7829">
          <w:rPr>
            <w:webHidden/>
          </w:rPr>
          <w:tab/>
        </w:r>
        <w:r>
          <w:rPr>
            <w:webHidden/>
          </w:rPr>
          <w:fldChar w:fldCharType="begin"/>
        </w:r>
        <w:r w:rsidR="00FD7829">
          <w:rPr>
            <w:webHidden/>
          </w:rPr>
          <w:instrText xml:space="preserve"> PAGEREF _Toc511716335 \h </w:instrText>
        </w:r>
        <w:r>
          <w:rPr>
            <w:webHidden/>
          </w:rPr>
        </w:r>
        <w:r>
          <w:rPr>
            <w:webHidden/>
          </w:rPr>
          <w:fldChar w:fldCharType="separate"/>
        </w:r>
        <w:r w:rsidR="0013522B">
          <w:rPr>
            <w:webHidden/>
          </w:rPr>
          <w:t>58</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36" w:history="1">
        <w:r w:rsidR="00FD7829" w:rsidRPr="00683C4B">
          <w:rPr>
            <w:rStyle w:val="Hipercze"/>
          </w:rPr>
          <w:t>7.3 INSTRUMENTY MONITORINGU SRWD</w:t>
        </w:r>
        <w:r w:rsidR="00FD7829">
          <w:rPr>
            <w:webHidden/>
          </w:rPr>
          <w:tab/>
        </w:r>
        <w:r>
          <w:rPr>
            <w:webHidden/>
          </w:rPr>
          <w:fldChar w:fldCharType="begin"/>
        </w:r>
        <w:r w:rsidR="00FD7829">
          <w:rPr>
            <w:webHidden/>
          </w:rPr>
          <w:instrText xml:space="preserve"> PAGEREF _Toc511716336 \h </w:instrText>
        </w:r>
        <w:r>
          <w:rPr>
            <w:webHidden/>
          </w:rPr>
        </w:r>
        <w:r>
          <w:rPr>
            <w:webHidden/>
          </w:rPr>
          <w:fldChar w:fldCharType="separate"/>
        </w:r>
        <w:r w:rsidR="0013522B">
          <w:rPr>
            <w:webHidden/>
          </w:rPr>
          <w:t>58</w:t>
        </w:r>
        <w:r>
          <w:rPr>
            <w:webHidden/>
          </w:rPr>
          <w:fldChar w:fldCharType="end"/>
        </w:r>
      </w:hyperlink>
    </w:p>
    <w:p w:rsidR="00FD7829" w:rsidRDefault="00E6670D">
      <w:pPr>
        <w:pStyle w:val="Spistreci2"/>
        <w:rPr>
          <w:rFonts w:asciiTheme="minorHAnsi" w:eastAsiaTheme="minorEastAsia" w:hAnsiTheme="minorHAnsi" w:cstheme="minorBidi"/>
          <w:iCs w:val="0"/>
          <w:color w:val="auto"/>
          <w:sz w:val="22"/>
          <w:szCs w:val="22"/>
        </w:rPr>
      </w:pPr>
      <w:hyperlink w:anchor="_Toc511716337" w:history="1">
        <w:r w:rsidR="00FD7829" w:rsidRPr="00683C4B">
          <w:rPr>
            <w:rStyle w:val="Hipercze"/>
          </w:rPr>
          <w:t>7.4 MONITORING REALIZACJI</w:t>
        </w:r>
        <w:r w:rsidR="00FD7829">
          <w:rPr>
            <w:webHidden/>
          </w:rPr>
          <w:tab/>
        </w:r>
        <w:r>
          <w:rPr>
            <w:webHidden/>
          </w:rPr>
          <w:fldChar w:fldCharType="begin"/>
        </w:r>
        <w:r w:rsidR="00FD7829">
          <w:rPr>
            <w:webHidden/>
          </w:rPr>
          <w:instrText xml:space="preserve"> PAGEREF _Toc511716337 \h </w:instrText>
        </w:r>
        <w:r>
          <w:rPr>
            <w:webHidden/>
          </w:rPr>
        </w:r>
        <w:r>
          <w:rPr>
            <w:webHidden/>
          </w:rPr>
          <w:fldChar w:fldCharType="separate"/>
        </w:r>
        <w:r w:rsidR="0013522B">
          <w:rPr>
            <w:webHidden/>
          </w:rPr>
          <w:t>59</w:t>
        </w:r>
        <w:r>
          <w:rPr>
            <w:webHidden/>
          </w:rPr>
          <w:fldChar w:fldCharType="end"/>
        </w:r>
      </w:hyperlink>
    </w:p>
    <w:p w:rsidR="00FD7829" w:rsidRDefault="00E6670D" w:rsidP="005B6AFA">
      <w:pPr>
        <w:pStyle w:val="Spistreci1"/>
        <w:rPr>
          <w:rFonts w:asciiTheme="minorHAnsi" w:eastAsiaTheme="minorEastAsia" w:hAnsiTheme="minorHAnsi" w:cstheme="minorBidi"/>
          <w:color w:val="auto"/>
          <w:sz w:val="22"/>
          <w:szCs w:val="22"/>
        </w:rPr>
      </w:pPr>
      <w:hyperlink w:anchor="_Toc511716338" w:history="1">
        <w:r w:rsidR="00FD7829" w:rsidRPr="00683C4B">
          <w:rPr>
            <w:rStyle w:val="Hipercze"/>
            <w:rFonts w:eastAsiaTheme="minorHAnsi"/>
          </w:rPr>
          <w:t xml:space="preserve">8. </w:t>
        </w:r>
        <w:r w:rsidR="00FD7829" w:rsidRPr="00683C4B">
          <w:rPr>
            <w:rStyle w:val="Hipercze"/>
          </w:rPr>
          <w:t>Wykaz</w:t>
        </w:r>
        <w:r w:rsidR="00FD7829" w:rsidRPr="00683C4B">
          <w:rPr>
            <w:rStyle w:val="Hipercze"/>
            <w:rFonts w:eastAsiaTheme="minorHAnsi"/>
          </w:rPr>
          <w:t xml:space="preserve"> użytych skrótów</w:t>
        </w:r>
        <w:r w:rsidR="00FD7829">
          <w:rPr>
            <w:webHidden/>
          </w:rPr>
          <w:tab/>
        </w:r>
        <w:r>
          <w:rPr>
            <w:webHidden/>
          </w:rPr>
          <w:fldChar w:fldCharType="begin"/>
        </w:r>
        <w:r w:rsidR="00FD7829">
          <w:rPr>
            <w:webHidden/>
          </w:rPr>
          <w:instrText xml:space="preserve"> PAGEREF _Toc511716338 \h </w:instrText>
        </w:r>
        <w:r>
          <w:rPr>
            <w:webHidden/>
          </w:rPr>
        </w:r>
        <w:r>
          <w:rPr>
            <w:webHidden/>
          </w:rPr>
          <w:fldChar w:fldCharType="separate"/>
        </w:r>
        <w:r w:rsidR="0013522B">
          <w:rPr>
            <w:webHidden/>
          </w:rPr>
          <w:t>61</w:t>
        </w:r>
        <w:r>
          <w:rPr>
            <w:webHidden/>
          </w:rPr>
          <w:fldChar w:fldCharType="end"/>
        </w:r>
      </w:hyperlink>
    </w:p>
    <w:p w:rsidR="00831ECF" w:rsidRPr="00AE35C1" w:rsidRDefault="00E6670D" w:rsidP="005F49A2">
      <w:pPr>
        <w:spacing w:line="288" w:lineRule="auto"/>
      </w:pPr>
      <w:r w:rsidRPr="00AE35C1">
        <w:rPr>
          <w:rFonts w:cs="Calibri"/>
          <w:color w:val="000000"/>
          <w:sz w:val="20"/>
          <w:szCs w:val="20"/>
        </w:rPr>
        <w:fldChar w:fldCharType="end"/>
      </w:r>
    </w:p>
    <w:p w:rsidR="000C6BE4" w:rsidRPr="00AE35C1" w:rsidRDefault="000C6BE4" w:rsidP="005F49A2">
      <w:pPr>
        <w:spacing w:line="288" w:lineRule="auto"/>
        <w:sectPr w:rsidR="000C6BE4" w:rsidRPr="00AE35C1" w:rsidSect="00E73C96">
          <w:headerReference w:type="default" r:id="rId9"/>
          <w:footerReference w:type="default" r:id="rId10"/>
          <w:headerReference w:type="first" r:id="rId11"/>
          <w:footerReference w:type="first" r:id="rId12"/>
          <w:pgSz w:w="11906" w:h="16838"/>
          <w:pgMar w:top="1417" w:right="1417" w:bottom="1417" w:left="1417" w:header="708" w:footer="708" w:gutter="0"/>
          <w:pgNumType w:start="0"/>
          <w:cols w:space="708"/>
          <w:titlePg/>
          <w:docGrid w:linePitch="360"/>
        </w:sectPr>
      </w:pPr>
    </w:p>
    <w:p w:rsidR="009F7937" w:rsidRPr="00D113CA" w:rsidRDefault="00DF7C1C" w:rsidP="00394337">
      <w:pPr>
        <w:pStyle w:val="Nagwek1"/>
        <w:spacing w:before="200"/>
        <w:rPr>
          <w:b w:val="0"/>
        </w:rPr>
      </w:pPr>
      <w:bookmarkStart w:id="5" w:name="_Toc511716300"/>
      <w:r w:rsidRPr="00D113CA">
        <w:lastRenderedPageBreak/>
        <w:t>WPROWADZENIE</w:t>
      </w:r>
      <w:bookmarkEnd w:id="5"/>
    </w:p>
    <w:p w:rsidR="00FD7829" w:rsidRPr="0082157C" w:rsidRDefault="00FD7829" w:rsidP="00E7427F">
      <w:pPr>
        <w:tabs>
          <w:tab w:val="left" w:pos="426"/>
        </w:tabs>
        <w:spacing w:after="0" w:line="266" w:lineRule="auto"/>
        <w:ind w:firstLine="567"/>
        <w:jc w:val="both"/>
        <w:rPr>
          <w:rFonts w:asciiTheme="minorHAnsi" w:hAnsiTheme="minorHAnsi" w:cstheme="minorHAnsi"/>
          <w:color w:val="000000" w:themeColor="text1"/>
          <w:sz w:val="21"/>
          <w:szCs w:val="21"/>
        </w:rPr>
      </w:pPr>
      <w:r w:rsidRPr="0082157C">
        <w:rPr>
          <w:rFonts w:asciiTheme="minorHAnsi" w:hAnsiTheme="minorHAnsi" w:cstheme="minorHAnsi"/>
          <w:color w:val="000000" w:themeColor="text1"/>
          <w:sz w:val="21"/>
          <w:szCs w:val="21"/>
        </w:rPr>
        <w:t xml:space="preserve">Współczesne procesy zarządzania regionem, podobnie jak i każdą jednostką terytorialną, oparte są na podejściu strategicznym i nastawione na kreowanie przyszłości. Podejście takie jest ustawowym obowiązkiem samorządu województwa. </w:t>
      </w:r>
    </w:p>
    <w:p w:rsidR="00FD7829" w:rsidRPr="0082157C" w:rsidRDefault="00FD7829" w:rsidP="00394337">
      <w:pPr>
        <w:pStyle w:val="Bezodstpw"/>
        <w:spacing w:line="266" w:lineRule="auto"/>
        <w:jc w:val="both"/>
        <w:rPr>
          <w:rFonts w:cstheme="minorHAnsi"/>
          <w:color w:val="000000" w:themeColor="text1"/>
          <w:sz w:val="21"/>
          <w:szCs w:val="21"/>
        </w:rPr>
      </w:pPr>
      <w:r w:rsidRPr="0082157C">
        <w:rPr>
          <w:rFonts w:cstheme="minorHAnsi"/>
          <w:color w:val="000000" w:themeColor="text1"/>
          <w:sz w:val="21"/>
          <w:szCs w:val="21"/>
        </w:rPr>
        <w:t xml:space="preserve">Zgodnie z art. 11 ust. 2 ustawy o samorządzie województwa (Dz. U. z 2017 r. poz. 2096 z </w:t>
      </w:r>
      <w:proofErr w:type="spellStart"/>
      <w:r w:rsidRPr="0082157C">
        <w:rPr>
          <w:rFonts w:cstheme="minorHAnsi"/>
          <w:color w:val="000000" w:themeColor="text1"/>
          <w:sz w:val="21"/>
          <w:szCs w:val="21"/>
        </w:rPr>
        <w:t>późn</w:t>
      </w:r>
      <w:proofErr w:type="spellEnd"/>
      <w:r w:rsidRPr="0082157C">
        <w:rPr>
          <w:rFonts w:cstheme="minorHAnsi"/>
          <w:color w:val="000000" w:themeColor="text1"/>
          <w:sz w:val="21"/>
          <w:szCs w:val="21"/>
        </w:rPr>
        <w:t>. zm.) oraz art. 3 pkt 2 ustawy z dnia 6 grudnia 2006 r. o zasadach prowadzenia polityki rozwoju (Dz. U. z 2017, poz. 1376 z</w:t>
      </w:r>
      <w:r w:rsidR="00394337" w:rsidRPr="0082157C">
        <w:rPr>
          <w:rFonts w:cstheme="minorHAnsi"/>
          <w:color w:val="000000" w:themeColor="text1"/>
          <w:sz w:val="21"/>
          <w:szCs w:val="21"/>
        </w:rPr>
        <w:t> </w:t>
      </w:r>
      <w:proofErr w:type="spellStart"/>
      <w:r w:rsidRPr="0082157C">
        <w:rPr>
          <w:rFonts w:cstheme="minorHAnsi"/>
          <w:color w:val="000000" w:themeColor="text1"/>
          <w:sz w:val="21"/>
          <w:szCs w:val="21"/>
        </w:rPr>
        <w:t>późn</w:t>
      </w:r>
      <w:proofErr w:type="spellEnd"/>
      <w:r w:rsidRPr="0082157C">
        <w:rPr>
          <w:rFonts w:cstheme="minorHAnsi"/>
          <w:color w:val="000000" w:themeColor="text1"/>
          <w:sz w:val="21"/>
          <w:szCs w:val="21"/>
        </w:rPr>
        <w:t xml:space="preserve">. zm.) samorząd województwa jest odpowiedzialny za kreowanie </w:t>
      </w:r>
      <w:r w:rsidRPr="0082157C">
        <w:rPr>
          <w:rFonts w:cstheme="minorHAnsi"/>
          <w:b/>
          <w:color w:val="000000" w:themeColor="text1"/>
          <w:sz w:val="21"/>
          <w:szCs w:val="21"/>
        </w:rPr>
        <w:t>polityki rozwoju regionalnego</w:t>
      </w:r>
      <w:r w:rsidRPr="0082157C">
        <w:rPr>
          <w:rFonts w:cstheme="minorHAnsi"/>
          <w:color w:val="000000" w:themeColor="text1"/>
          <w:sz w:val="21"/>
          <w:szCs w:val="21"/>
        </w:rPr>
        <w:t>, a</w:t>
      </w:r>
      <w:r w:rsidR="00394337" w:rsidRPr="0082157C">
        <w:rPr>
          <w:rFonts w:cstheme="minorHAnsi"/>
          <w:color w:val="000000" w:themeColor="text1"/>
          <w:sz w:val="21"/>
          <w:szCs w:val="21"/>
        </w:rPr>
        <w:t> </w:t>
      </w:r>
      <w:r w:rsidRPr="0082157C">
        <w:rPr>
          <w:rFonts w:cstheme="minorHAnsi"/>
          <w:color w:val="000000" w:themeColor="text1"/>
          <w:sz w:val="21"/>
          <w:szCs w:val="21"/>
        </w:rPr>
        <w:t xml:space="preserve">podstawowym narzędziem do kształtowania tejże polityki jest </w:t>
      </w:r>
      <w:r w:rsidRPr="0082157C">
        <w:rPr>
          <w:rFonts w:cstheme="minorHAnsi"/>
          <w:b/>
          <w:color w:val="000000" w:themeColor="text1"/>
          <w:sz w:val="21"/>
          <w:szCs w:val="21"/>
        </w:rPr>
        <w:t>strategia rozwoju województwa</w:t>
      </w:r>
      <w:r w:rsidRPr="0082157C">
        <w:rPr>
          <w:rFonts w:cstheme="minorHAnsi"/>
          <w:color w:val="000000" w:themeColor="text1"/>
          <w:sz w:val="21"/>
          <w:szCs w:val="21"/>
        </w:rPr>
        <w:t xml:space="preserve"> – rozumiana jako koncepcja wieloletniego i wieloaspektowego rozwoju, odzwierciedlająca nade wszystko preferencje i oczekiwania regionalnej społeczności, wykorzystująca w optymalnym zakresie rozwojowe możliwości i szanse.</w:t>
      </w:r>
    </w:p>
    <w:p w:rsidR="009F7937" w:rsidRPr="0082157C" w:rsidRDefault="00FD7829" w:rsidP="00394337">
      <w:pPr>
        <w:spacing w:after="0" w:line="266" w:lineRule="auto"/>
        <w:jc w:val="both"/>
        <w:rPr>
          <w:rFonts w:asciiTheme="minorHAnsi" w:hAnsiTheme="minorHAnsi" w:cstheme="minorHAnsi"/>
          <w:b/>
          <w:color w:val="000000" w:themeColor="text1"/>
          <w:sz w:val="21"/>
          <w:szCs w:val="21"/>
        </w:rPr>
      </w:pPr>
      <w:r w:rsidRPr="0082157C">
        <w:rPr>
          <w:rFonts w:asciiTheme="minorHAnsi" w:hAnsiTheme="minorHAnsi" w:cstheme="minorHAnsi"/>
          <w:color w:val="000000" w:themeColor="text1"/>
          <w:sz w:val="21"/>
          <w:szCs w:val="21"/>
        </w:rPr>
        <w:t>Podmiotem odpowiedzialnym za sformułowanie i opracowanie strategii rozwoju województwa, zgodnie z</w:t>
      </w:r>
      <w:r w:rsidR="00394337" w:rsidRPr="0082157C">
        <w:rPr>
          <w:rFonts w:asciiTheme="minorHAnsi" w:hAnsiTheme="minorHAnsi" w:cstheme="minorHAnsi"/>
          <w:color w:val="000000" w:themeColor="text1"/>
          <w:sz w:val="21"/>
          <w:szCs w:val="21"/>
        </w:rPr>
        <w:t> </w:t>
      </w:r>
      <w:r w:rsidRPr="0082157C">
        <w:rPr>
          <w:rFonts w:asciiTheme="minorHAnsi" w:hAnsiTheme="minorHAnsi" w:cstheme="minorHAnsi"/>
          <w:color w:val="000000" w:themeColor="text1"/>
          <w:sz w:val="21"/>
          <w:szCs w:val="21"/>
        </w:rPr>
        <w:t xml:space="preserve">zapisami ustawy z dnia 5 czerwca 1998 r. o samorządzie województwa jest </w:t>
      </w:r>
      <w:r w:rsidRPr="0082157C">
        <w:rPr>
          <w:rFonts w:asciiTheme="minorHAnsi" w:hAnsiTheme="minorHAnsi" w:cstheme="minorHAnsi"/>
          <w:b/>
          <w:color w:val="000000" w:themeColor="text1"/>
          <w:sz w:val="21"/>
          <w:szCs w:val="21"/>
        </w:rPr>
        <w:t xml:space="preserve">samorząd województwa. </w:t>
      </w:r>
    </w:p>
    <w:p w:rsidR="009F7937" w:rsidRPr="0082157C" w:rsidRDefault="00FD7829" w:rsidP="00394337">
      <w:pPr>
        <w:spacing w:after="0" w:line="266" w:lineRule="auto"/>
        <w:ind w:firstLine="567"/>
        <w:jc w:val="both"/>
        <w:rPr>
          <w:rFonts w:asciiTheme="minorHAnsi" w:eastAsia="Times New Roman" w:hAnsiTheme="minorHAnsi" w:cstheme="minorHAnsi"/>
          <w:color w:val="000000" w:themeColor="text1"/>
          <w:sz w:val="21"/>
          <w:szCs w:val="21"/>
          <w:lang w:eastAsia="pl-PL"/>
        </w:rPr>
      </w:pPr>
      <w:r w:rsidRPr="0082157C">
        <w:rPr>
          <w:rFonts w:asciiTheme="minorHAnsi" w:eastAsia="Times New Roman" w:hAnsiTheme="minorHAnsi" w:cstheme="minorHAnsi"/>
          <w:color w:val="000000" w:themeColor="text1"/>
          <w:sz w:val="21"/>
          <w:szCs w:val="21"/>
          <w:lang w:eastAsia="pl-PL"/>
        </w:rPr>
        <w:t xml:space="preserve">Obowiązująca dotychczas Strategia Rozwoju Województwa Dolnośląskiego do roku 2020 została uchwalona przez Sejmik Województwa w lutym 2013 roku. Po ponad pięciu latach jej wdrażania poprzez podejmowanie działań ujętych w ośmiu celach strategicznych powiązanych z ośmioma </w:t>
      </w:r>
      <w:proofErr w:type="spellStart"/>
      <w:r w:rsidRPr="0082157C">
        <w:rPr>
          <w:rFonts w:asciiTheme="minorHAnsi" w:eastAsia="Times New Roman" w:hAnsiTheme="minorHAnsi" w:cstheme="minorHAnsi"/>
          <w:color w:val="000000" w:themeColor="text1"/>
          <w:sz w:val="21"/>
          <w:szCs w:val="21"/>
          <w:lang w:eastAsia="pl-PL"/>
        </w:rPr>
        <w:t>makrosferami</w:t>
      </w:r>
      <w:proofErr w:type="spellEnd"/>
      <w:r w:rsidRPr="0082157C">
        <w:rPr>
          <w:rFonts w:asciiTheme="minorHAnsi" w:eastAsia="Times New Roman" w:hAnsiTheme="minorHAnsi" w:cstheme="minorHAnsi"/>
          <w:color w:val="000000" w:themeColor="text1"/>
          <w:sz w:val="21"/>
          <w:szCs w:val="21"/>
          <w:lang w:eastAsia="pl-PL"/>
        </w:rPr>
        <w:t>, zidentyfikowano rozbieżne z oczekiwanymi tendencje zmian zwłaszcza w zakresie gospodarki opartej na wiedzy, funkcjonowania sektora małej i średniej przedsiębiorczości, poprawy infrastruktury transportu, szczególnie na obszarach o niskiej dostępności komunikacyjnej, a także jakości powietrza. Problemy te ujawniły się nierównomiernie w przestrzeni regionu i w ślad za tym zwiększyły się rozwojowe dysproporcje między poszczególnymi subregionami, powiatami i gminami. Tym samym zagrożona została wyraźnie spójność społeczna, gospodarcza i przestrzenna regionu dolnośląskiego.</w:t>
      </w:r>
    </w:p>
    <w:p w:rsidR="009F7937" w:rsidRPr="0082157C" w:rsidRDefault="00FD7829" w:rsidP="00394337">
      <w:pPr>
        <w:spacing w:after="0" w:line="266" w:lineRule="auto"/>
        <w:ind w:firstLine="567"/>
        <w:jc w:val="both"/>
        <w:rPr>
          <w:rFonts w:asciiTheme="minorHAnsi" w:eastAsia="Times New Roman" w:hAnsiTheme="minorHAnsi" w:cstheme="minorHAnsi"/>
          <w:color w:val="000000" w:themeColor="text1"/>
          <w:sz w:val="21"/>
          <w:szCs w:val="21"/>
          <w:lang w:eastAsia="pl-PL"/>
        </w:rPr>
      </w:pPr>
      <w:r w:rsidRPr="0082157C">
        <w:rPr>
          <w:rFonts w:asciiTheme="minorHAnsi" w:eastAsia="Times New Roman" w:hAnsiTheme="minorHAnsi" w:cstheme="minorHAnsi"/>
          <w:color w:val="000000" w:themeColor="text1"/>
          <w:sz w:val="21"/>
          <w:szCs w:val="21"/>
          <w:lang w:eastAsia="pl-PL"/>
        </w:rPr>
        <w:t>Z jednej zatem strony wskazane wyżej niepokojące wewnątrzregionalne tendencje oraz dynamika i</w:t>
      </w:r>
      <w:r w:rsidR="00394337" w:rsidRPr="0082157C">
        <w:rPr>
          <w:rFonts w:asciiTheme="minorHAnsi" w:eastAsia="Times New Roman" w:hAnsiTheme="minorHAnsi" w:cstheme="minorHAnsi"/>
          <w:color w:val="000000" w:themeColor="text1"/>
          <w:sz w:val="21"/>
          <w:szCs w:val="21"/>
          <w:lang w:eastAsia="pl-PL"/>
        </w:rPr>
        <w:t> </w:t>
      </w:r>
      <w:r w:rsidRPr="0082157C">
        <w:rPr>
          <w:rFonts w:asciiTheme="minorHAnsi" w:eastAsia="Times New Roman" w:hAnsiTheme="minorHAnsi" w:cstheme="minorHAnsi"/>
          <w:color w:val="000000" w:themeColor="text1"/>
          <w:sz w:val="21"/>
          <w:szCs w:val="21"/>
          <w:lang w:eastAsia="pl-PL"/>
        </w:rPr>
        <w:t>kierunki zmian demograficznych wyznaczające nowe skale i zakresy społecznych potrzeb, a z drugiej zewnętrzne uwarunkowania społeczno-gospodarcze, w tym zbliżająca się nowa perspektywa programowa i</w:t>
      </w:r>
      <w:r w:rsidR="00394337" w:rsidRPr="0082157C">
        <w:rPr>
          <w:rFonts w:asciiTheme="minorHAnsi" w:eastAsia="Times New Roman" w:hAnsiTheme="minorHAnsi" w:cstheme="minorHAnsi"/>
          <w:color w:val="000000" w:themeColor="text1"/>
          <w:sz w:val="21"/>
          <w:szCs w:val="21"/>
          <w:lang w:eastAsia="pl-PL"/>
        </w:rPr>
        <w:t> </w:t>
      </w:r>
      <w:r w:rsidRPr="0082157C">
        <w:rPr>
          <w:rFonts w:asciiTheme="minorHAnsi" w:eastAsia="Times New Roman" w:hAnsiTheme="minorHAnsi" w:cstheme="minorHAnsi"/>
          <w:color w:val="000000" w:themeColor="text1"/>
          <w:sz w:val="21"/>
          <w:szCs w:val="21"/>
          <w:lang w:eastAsia="pl-PL"/>
        </w:rPr>
        <w:t>finansowa Unii Europejskiej, zmiany zasad i kierunków polityki rozwoju kraju, wyrażone przede wszystkim w średniookresowej Strategii na Rzecz Odpowiedzialnego Rozwoju i zintegrowanych z nią politykach dziedzinowych, w tym aktualizowaną Krajową Strategią Rozwoju Regionalnego, uzasadniają konieczność sporządzenia nowego dokumentu ukierunkowanego na perspektywę do roku 2030.</w:t>
      </w:r>
    </w:p>
    <w:p w:rsidR="009F7937" w:rsidRPr="0082157C" w:rsidRDefault="00FD7829" w:rsidP="00394337">
      <w:pPr>
        <w:spacing w:after="0" w:line="266" w:lineRule="auto"/>
        <w:ind w:firstLine="567"/>
        <w:jc w:val="both"/>
        <w:rPr>
          <w:rFonts w:asciiTheme="minorHAnsi" w:eastAsia="Times New Roman" w:hAnsiTheme="minorHAnsi" w:cstheme="minorHAnsi"/>
          <w:color w:val="000000" w:themeColor="text1"/>
          <w:sz w:val="21"/>
          <w:szCs w:val="21"/>
          <w:lang w:eastAsia="pl-PL"/>
        </w:rPr>
      </w:pPr>
      <w:r w:rsidRPr="0082157C">
        <w:rPr>
          <w:rFonts w:asciiTheme="minorHAnsi" w:hAnsiTheme="minorHAnsi"/>
          <w:color w:val="000000" w:themeColor="text1"/>
          <w:sz w:val="21"/>
          <w:szCs w:val="21"/>
        </w:rPr>
        <w:t xml:space="preserve">Potrzeba przygotowania Strategii Rozwoju Województwa Dolnośląskiego 2030 wynika także z czynników natury </w:t>
      </w:r>
      <w:r w:rsidRPr="0082157C">
        <w:rPr>
          <w:rFonts w:asciiTheme="minorHAnsi" w:hAnsiTheme="minorHAnsi"/>
          <w:b/>
          <w:color w:val="000000" w:themeColor="text1"/>
          <w:sz w:val="21"/>
          <w:szCs w:val="21"/>
        </w:rPr>
        <w:t>formalnej.</w:t>
      </w:r>
      <w:r w:rsidRPr="0082157C">
        <w:rPr>
          <w:rFonts w:asciiTheme="minorHAnsi" w:hAnsiTheme="minorHAnsi"/>
          <w:color w:val="000000" w:themeColor="text1"/>
          <w:sz w:val="21"/>
          <w:szCs w:val="21"/>
        </w:rPr>
        <w:t xml:space="preserve"> Do najważniejszych przesłanek </w:t>
      </w:r>
      <w:r w:rsidRPr="0082157C">
        <w:rPr>
          <w:rFonts w:asciiTheme="minorHAnsi" w:hAnsiTheme="minorHAnsi"/>
          <w:b/>
          <w:color w:val="000000" w:themeColor="text1"/>
          <w:sz w:val="21"/>
          <w:szCs w:val="21"/>
        </w:rPr>
        <w:t>formalnych</w:t>
      </w:r>
      <w:r w:rsidRPr="0082157C">
        <w:rPr>
          <w:rFonts w:asciiTheme="minorHAnsi" w:hAnsiTheme="minorHAnsi"/>
          <w:color w:val="000000" w:themeColor="text1"/>
          <w:sz w:val="21"/>
          <w:szCs w:val="21"/>
        </w:rPr>
        <w:t xml:space="preserve"> należy przyjęcie przez Radę Ministrów w dniu 14 lutego 2017 r. Strategii na rzecz Odpowiedzialnego Rozwoju.  W związku z tym, zgodnie z przepisem art. 11 ust. 1d ustawy z dnia 5 czerwca 1998 r. o samorządzie województwa, należy dostosować cele Strategii do celów SOR, która stanowi średniookresową strategię rozwoju kraju.</w:t>
      </w:r>
    </w:p>
    <w:p w:rsidR="00FD7829" w:rsidRPr="0082157C" w:rsidRDefault="00FD7829" w:rsidP="00394337">
      <w:pPr>
        <w:pStyle w:val="Bezodstpw"/>
        <w:spacing w:line="266" w:lineRule="auto"/>
        <w:ind w:firstLine="567"/>
        <w:jc w:val="both"/>
        <w:rPr>
          <w:rFonts w:cstheme="minorHAnsi"/>
          <w:b/>
          <w:color w:val="000000" w:themeColor="text1"/>
          <w:sz w:val="21"/>
          <w:szCs w:val="21"/>
        </w:rPr>
      </w:pPr>
      <w:r w:rsidRPr="0082157C">
        <w:rPr>
          <w:rFonts w:cstheme="minorHAnsi"/>
          <w:color w:val="000000" w:themeColor="text1"/>
          <w:sz w:val="21"/>
          <w:szCs w:val="21"/>
        </w:rPr>
        <w:t xml:space="preserve">Strategia Rozwoju Województwa Dolnośląskiego 2030 jest wynikiem intensywnych prac, prowadzonych przez Zarząd Województwa Dolnośląskiego we współpracy z partnerami społeczno-gospodarczymi i ekspertami uczestniczącymi w pracach </w:t>
      </w:r>
      <w:r w:rsidRPr="0082157C">
        <w:rPr>
          <w:rFonts w:cstheme="minorHAnsi"/>
          <w:b/>
          <w:color w:val="000000" w:themeColor="text1"/>
          <w:sz w:val="21"/>
          <w:szCs w:val="21"/>
        </w:rPr>
        <w:t xml:space="preserve">Komitetu Sterującego, Komitetu Ekspertów oraz Grupy roboczej do spraw opracowania projektu Strategii. </w:t>
      </w:r>
    </w:p>
    <w:p w:rsidR="00FD7829" w:rsidRPr="0082157C" w:rsidRDefault="00FD7829" w:rsidP="00394337">
      <w:pPr>
        <w:pStyle w:val="Bezodstpw"/>
        <w:spacing w:line="266" w:lineRule="auto"/>
        <w:ind w:firstLine="567"/>
        <w:jc w:val="both"/>
        <w:rPr>
          <w:rFonts w:cstheme="minorHAnsi"/>
          <w:color w:val="000000" w:themeColor="text1"/>
          <w:sz w:val="21"/>
          <w:szCs w:val="21"/>
        </w:rPr>
      </w:pPr>
      <w:r w:rsidRPr="0082157C">
        <w:rPr>
          <w:rFonts w:cstheme="minorHAnsi"/>
          <w:color w:val="000000" w:themeColor="text1"/>
          <w:sz w:val="21"/>
          <w:szCs w:val="21"/>
        </w:rPr>
        <w:t xml:space="preserve">Zasadą prac nad niniejszą Strategią Rozwoju Województwa Dolnośląskiego 2030 było wykorzystanie dorobku dotychczas obowiązującej Strategii, </w:t>
      </w:r>
      <w:r w:rsidRPr="0082157C">
        <w:rPr>
          <w:color w:val="000000" w:themeColor="text1"/>
          <w:sz w:val="21"/>
          <w:szCs w:val="21"/>
        </w:rPr>
        <w:t xml:space="preserve">bazując m.in. na „Raporcie z realizacji Strategii Rozwoju Województwa Dolnośląskiego 2020” przyjętym w grudniu 2016 roku przez Zarząd Województwa oraz na „Raporcie o stanie zagospodarowania przestrzennego  i rozwoju społeczno-gospodarczym województwa dolnośląskiego” przyjętym przez Zarząd Województwa w kwietniu 2016 roku, </w:t>
      </w:r>
      <w:r w:rsidRPr="0082157C">
        <w:rPr>
          <w:rFonts w:cstheme="minorHAnsi"/>
          <w:color w:val="000000" w:themeColor="text1"/>
          <w:sz w:val="21"/>
          <w:szCs w:val="21"/>
        </w:rPr>
        <w:t xml:space="preserve">przy uwzględnieniu nowej sytuacji gospodarczej, społecznej i przestrzennej Dolnego Śląska, Polski oraz Unii Europejskiej. </w:t>
      </w:r>
    </w:p>
    <w:p w:rsidR="00FD7829" w:rsidRPr="0082157C" w:rsidRDefault="00FD7829" w:rsidP="00394337">
      <w:pPr>
        <w:pStyle w:val="Bezodstpw"/>
        <w:spacing w:line="266" w:lineRule="auto"/>
        <w:ind w:firstLine="567"/>
        <w:jc w:val="both"/>
        <w:rPr>
          <w:rFonts w:cstheme="minorHAnsi"/>
          <w:color w:val="000000" w:themeColor="text1"/>
          <w:sz w:val="21"/>
          <w:szCs w:val="21"/>
        </w:rPr>
      </w:pPr>
      <w:r w:rsidRPr="0082157C">
        <w:rPr>
          <w:rFonts w:cstheme="minorHAnsi"/>
          <w:color w:val="000000" w:themeColor="text1"/>
          <w:sz w:val="21"/>
          <w:szCs w:val="21"/>
        </w:rPr>
        <w:t xml:space="preserve">W celu uzyskania możliwie szerokiej aprobaty społeczeństwa, partnerów społeczno-gospodarczych oraz organów wykonawczych odpowiedzialnych w przyszłości za wdrażanie postanowień Strategii, dokument został poddany debacie publicznej, której najważniejszym elementem były </w:t>
      </w:r>
      <w:r w:rsidRPr="0082157C">
        <w:rPr>
          <w:rFonts w:cstheme="minorHAnsi"/>
          <w:b/>
          <w:color w:val="000000" w:themeColor="text1"/>
          <w:sz w:val="21"/>
          <w:szCs w:val="21"/>
        </w:rPr>
        <w:t>spotkania konsultacyjne</w:t>
      </w:r>
      <w:r w:rsidRPr="0082157C">
        <w:rPr>
          <w:rFonts w:cstheme="minorHAnsi"/>
          <w:color w:val="000000" w:themeColor="text1"/>
          <w:sz w:val="21"/>
          <w:szCs w:val="21"/>
        </w:rPr>
        <w:t xml:space="preserve"> w</w:t>
      </w:r>
      <w:r w:rsidR="00394337" w:rsidRPr="0082157C">
        <w:rPr>
          <w:rFonts w:cstheme="minorHAnsi"/>
          <w:color w:val="000000" w:themeColor="text1"/>
          <w:sz w:val="21"/>
          <w:szCs w:val="21"/>
        </w:rPr>
        <w:t> </w:t>
      </w:r>
      <w:r w:rsidRPr="0082157C">
        <w:rPr>
          <w:rFonts w:cstheme="minorHAnsi"/>
          <w:color w:val="000000" w:themeColor="text1"/>
          <w:sz w:val="21"/>
          <w:szCs w:val="21"/>
        </w:rPr>
        <w:t xml:space="preserve">czterech największych miastach regionu (Wrocław, Legnica, Jelenia Góra i Wałbrzych) z </w:t>
      </w:r>
      <w:r w:rsidRPr="0082157C">
        <w:rPr>
          <w:rFonts w:cstheme="minorHAnsi"/>
          <w:color w:val="000000" w:themeColor="text1"/>
          <w:sz w:val="21"/>
          <w:szCs w:val="21"/>
        </w:rPr>
        <w:lastRenderedPageBreak/>
        <w:t xml:space="preserve">udziałem samorządowców, radnych województwa, przedstawicieli świata nauki, biznesu, przedstawicieli instytucji wspierania biznesu, agencji rozwoju, izb gospodarczych oraz organizacji pozarządowych. </w:t>
      </w:r>
    </w:p>
    <w:p w:rsidR="00FD7829" w:rsidRPr="0082157C" w:rsidRDefault="00FD7829" w:rsidP="00394337">
      <w:pPr>
        <w:pStyle w:val="Bezodstpw"/>
        <w:spacing w:line="266" w:lineRule="auto"/>
        <w:ind w:firstLine="708"/>
        <w:jc w:val="both"/>
        <w:rPr>
          <w:rFonts w:cstheme="minorHAnsi"/>
          <w:color w:val="000000" w:themeColor="text1"/>
          <w:sz w:val="21"/>
          <w:szCs w:val="21"/>
        </w:rPr>
      </w:pPr>
      <w:r w:rsidRPr="0082157C">
        <w:rPr>
          <w:rFonts w:cstheme="minorHAnsi"/>
          <w:color w:val="000000" w:themeColor="text1"/>
          <w:sz w:val="21"/>
          <w:szCs w:val="21"/>
        </w:rPr>
        <w:t>Prezentowana wersja dokumentu uwzględnia wszystkie zasadne wnioski i rekomendacje sformułowane w ramach konsultacji</w:t>
      </w:r>
      <w:r w:rsidR="00C26BA4" w:rsidRPr="0082157C">
        <w:rPr>
          <w:rFonts w:cstheme="minorHAnsi"/>
          <w:color w:val="000000" w:themeColor="text1"/>
          <w:sz w:val="21"/>
          <w:szCs w:val="21"/>
        </w:rPr>
        <w:t>.</w:t>
      </w:r>
    </w:p>
    <w:p w:rsidR="009F7937" w:rsidRPr="0082157C" w:rsidRDefault="00FD7829" w:rsidP="00394337">
      <w:pPr>
        <w:tabs>
          <w:tab w:val="left" w:pos="426"/>
        </w:tabs>
        <w:spacing w:after="0" w:line="266" w:lineRule="auto"/>
        <w:jc w:val="both"/>
        <w:rPr>
          <w:rFonts w:asciiTheme="minorHAnsi" w:hAnsiTheme="minorHAnsi" w:cstheme="minorHAnsi"/>
          <w:b/>
          <w:color w:val="000000" w:themeColor="text1"/>
          <w:sz w:val="21"/>
          <w:szCs w:val="21"/>
        </w:rPr>
      </w:pPr>
      <w:r w:rsidRPr="0082157C">
        <w:rPr>
          <w:rFonts w:asciiTheme="minorHAnsi" w:hAnsiTheme="minorHAnsi" w:cstheme="minorHAnsi"/>
          <w:color w:val="000000" w:themeColor="text1"/>
          <w:sz w:val="21"/>
          <w:szCs w:val="21"/>
        </w:rPr>
        <w:tab/>
        <w:t xml:space="preserve">Punktem wyjścia do formułowania strategii rozwoju województwa dolnośląskiego do roku 2030 była </w:t>
      </w:r>
      <w:r w:rsidRPr="0082157C">
        <w:rPr>
          <w:rFonts w:asciiTheme="minorHAnsi" w:hAnsiTheme="minorHAnsi" w:cstheme="minorHAnsi"/>
          <w:b/>
          <w:color w:val="000000" w:themeColor="text1"/>
          <w:sz w:val="21"/>
          <w:szCs w:val="21"/>
        </w:rPr>
        <w:t>diagnoza</w:t>
      </w:r>
      <w:r w:rsidRPr="0082157C">
        <w:rPr>
          <w:rFonts w:asciiTheme="minorHAnsi" w:hAnsiTheme="minorHAnsi" w:cstheme="minorHAnsi"/>
          <w:color w:val="000000" w:themeColor="text1"/>
          <w:sz w:val="21"/>
          <w:szCs w:val="21"/>
        </w:rPr>
        <w:t xml:space="preserve"> prospektywna pozwalająca na całościową ocenę stanu istniejącego oraz na wskazanie głównych trendów, wyzwań i kluczowych problemów rozwoju regionu w przekroju terytorialnym. Jej zakres pozwolił określić </w:t>
      </w:r>
      <w:r w:rsidRPr="0082157C">
        <w:rPr>
          <w:rFonts w:asciiTheme="minorHAnsi" w:hAnsiTheme="minorHAnsi" w:cstheme="minorHAnsi"/>
          <w:b/>
          <w:color w:val="000000" w:themeColor="text1"/>
          <w:sz w:val="21"/>
          <w:szCs w:val="21"/>
        </w:rPr>
        <w:t>wizję i misję</w:t>
      </w:r>
      <w:r w:rsidRPr="0082157C">
        <w:rPr>
          <w:rFonts w:asciiTheme="minorHAnsi" w:hAnsiTheme="minorHAnsi" w:cstheme="minorHAnsi"/>
          <w:color w:val="000000" w:themeColor="text1"/>
          <w:sz w:val="21"/>
          <w:szCs w:val="21"/>
        </w:rPr>
        <w:t xml:space="preserve"> województwa dolnośląskiego roku 2030, a następnie hierarchiczną strukturę </w:t>
      </w:r>
      <w:r w:rsidRPr="0082157C">
        <w:rPr>
          <w:rFonts w:asciiTheme="minorHAnsi" w:hAnsiTheme="minorHAnsi" w:cstheme="minorHAnsi"/>
          <w:b/>
          <w:color w:val="000000" w:themeColor="text1"/>
          <w:sz w:val="21"/>
          <w:szCs w:val="21"/>
        </w:rPr>
        <w:t>celów i</w:t>
      </w:r>
      <w:r w:rsidR="00394337" w:rsidRPr="0082157C">
        <w:rPr>
          <w:rFonts w:asciiTheme="minorHAnsi" w:hAnsiTheme="minorHAnsi" w:cstheme="minorHAnsi"/>
          <w:b/>
          <w:color w:val="000000" w:themeColor="text1"/>
          <w:sz w:val="21"/>
          <w:szCs w:val="21"/>
        </w:rPr>
        <w:t> </w:t>
      </w:r>
      <w:r w:rsidRPr="0082157C">
        <w:rPr>
          <w:rFonts w:asciiTheme="minorHAnsi" w:hAnsiTheme="minorHAnsi" w:cstheme="minorHAnsi"/>
          <w:b/>
          <w:color w:val="000000" w:themeColor="text1"/>
          <w:sz w:val="21"/>
          <w:szCs w:val="21"/>
        </w:rPr>
        <w:t>działań strategicznych.</w:t>
      </w:r>
    </w:p>
    <w:p w:rsidR="009F7937" w:rsidRPr="0082157C" w:rsidRDefault="00FD7829" w:rsidP="00394337">
      <w:pPr>
        <w:tabs>
          <w:tab w:val="left" w:pos="426"/>
        </w:tabs>
        <w:spacing w:after="0" w:line="266" w:lineRule="auto"/>
        <w:ind w:firstLine="567"/>
        <w:jc w:val="both"/>
        <w:rPr>
          <w:rFonts w:asciiTheme="minorHAnsi" w:eastAsia="Times New Roman" w:hAnsiTheme="minorHAnsi" w:cstheme="minorHAnsi"/>
          <w:bCs/>
          <w:color w:val="000000" w:themeColor="text1"/>
          <w:sz w:val="21"/>
          <w:szCs w:val="21"/>
          <w:lang w:eastAsia="pl-PL"/>
        </w:rPr>
      </w:pPr>
      <w:r w:rsidRPr="0082157C">
        <w:rPr>
          <w:rFonts w:asciiTheme="minorHAnsi" w:hAnsiTheme="minorHAnsi" w:cstheme="minorHAnsi"/>
          <w:color w:val="000000" w:themeColor="text1"/>
          <w:sz w:val="21"/>
          <w:szCs w:val="21"/>
        </w:rPr>
        <w:t xml:space="preserve">Kierunki możliwego przyszłościowego rozwoju regionu dolnośląskiego rozważane są w trzech alternatywnych </w:t>
      </w:r>
      <w:r w:rsidRPr="0082157C">
        <w:rPr>
          <w:rFonts w:asciiTheme="minorHAnsi" w:hAnsiTheme="minorHAnsi" w:cstheme="minorHAnsi"/>
          <w:b/>
          <w:color w:val="000000" w:themeColor="text1"/>
          <w:sz w:val="21"/>
          <w:szCs w:val="21"/>
        </w:rPr>
        <w:t>scenariuszach</w:t>
      </w:r>
      <w:r w:rsidRPr="0082157C">
        <w:rPr>
          <w:rFonts w:asciiTheme="minorHAnsi" w:hAnsiTheme="minorHAnsi" w:cstheme="minorHAnsi"/>
          <w:color w:val="000000" w:themeColor="text1"/>
          <w:sz w:val="21"/>
          <w:szCs w:val="21"/>
        </w:rPr>
        <w:t>: dynamiczna równomierność, metropolitalna wyspa oraz niespójna mozaika. Biorąc jednak pod uwagę skalę i zakres wewnątrzregionalnych dysproporcji rozwojowych niezbędne są przedsięwzięcia ukierunkowane na ich eliminację bądź istotne ograniczenie oraz wzrost terytorialnej spójności regionu.</w:t>
      </w:r>
      <w:r w:rsidRPr="0082157C">
        <w:rPr>
          <w:rFonts w:asciiTheme="minorHAnsi" w:eastAsia="Times New Roman" w:hAnsiTheme="minorHAnsi" w:cstheme="minorHAnsi"/>
          <w:color w:val="000000" w:themeColor="text1"/>
          <w:sz w:val="21"/>
          <w:szCs w:val="21"/>
          <w:lang w:eastAsia="pl-PL"/>
        </w:rPr>
        <w:t xml:space="preserve"> Pierwszy zatem ze scenariuszy jest najkorzystniejszy dla dalszego </w:t>
      </w:r>
      <w:r w:rsidRPr="0082157C">
        <w:rPr>
          <w:rFonts w:asciiTheme="minorHAnsi" w:eastAsia="Times New Roman" w:hAnsiTheme="minorHAnsi" w:cstheme="minorHAnsi"/>
          <w:bCs/>
          <w:color w:val="000000" w:themeColor="text1"/>
          <w:sz w:val="21"/>
          <w:szCs w:val="21"/>
          <w:lang w:eastAsia="pl-PL"/>
        </w:rPr>
        <w:t>rozwoju regionu dolnośląskiego.</w:t>
      </w:r>
    </w:p>
    <w:p w:rsidR="009F7937" w:rsidRPr="0082157C" w:rsidRDefault="00FD7829" w:rsidP="00394337">
      <w:pPr>
        <w:tabs>
          <w:tab w:val="left" w:pos="426"/>
        </w:tabs>
        <w:spacing w:after="0" w:line="266" w:lineRule="auto"/>
        <w:ind w:firstLine="567"/>
        <w:jc w:val="both"/>
        <w:rPr>
          <w:rFonts w:asciiTheme="minorHAnsi" w:hAnsiTheme="minorHAnsi" w:cstheme="minorHAnsi"/>
          <w:bCs/>
          <w:color w:val="000000" w:themeColor="text1"/>
          <w:sz w:val="21"/>
          <w:szCs w:val="21"/>
        </w:rPr>
      </w:pPr>
      <w:r w:rsidRPr="0082157C">
        <w:rPr>
          <w:rFonts w:asciiTheme="minorHAnsi" w:hAnsiTheme="minorHAnsi" w:cstheme="minorHAnsi"/>
          <w:bCs/>
          <w:color w:val="000000" w:themeColor="text1"/>
          <w:sz w:val="21"/>
          <w:szCs w:val="21"/>
        </w:rPr>
        <w:t xml:space="preserve">Wizję przyszłościowego rozwoju regionu określono w dość ogólnej, lecz adekwatnej do powszechnie ujawnianych oczekiwań formie jako: </w:t>
      </w:r>
      <w:r w:rsidRPr="0082157C">
        <w:rPr>
          <w:rFonts w:asciiTheme="minorHAnsi" w:hAnsiTheme="minorHAnsi" w:cstheme="minorHAnsi"/>
          <w:b/>
          <w:bCs/>
          <w:color w:val="000000" w:themeColor="text1"/>
          <w:sz w:val="21"/>
          <w:szCs w:val="21"/>
        </w:rPr>
        <w:t>Dolny Śląsk 2030 regionem równomiernego rozwoju, regionem przyjaznym, nowoczesnym i konkurencyjnym</w:t>
      </w:r>
      <w:r w:rsidRPr="0082157C">
        <w:rPr>
          <w:rFonts w:asciiTheme="minorHAnsi" w:hAnsiTheme="minorHAnsi" w:cstheme="minorHAnsi"/>
          <w:bCs/>
          <w:color w:val="000000" w:themeColor="text1"/>
          <w:sz w:val="21"/>
          <w:szCs w:val="21"/>
        </w:rPr>
        <w:t xml:space="preserve">. Jej osiągnięciu służyć będzie realizacja celu nadrzędnego, którym jest </w:t>
      </w:r>
      <w:r w:rsidRPr="0082157C">
        <w:rPr>
          <w:rFonts w:asciiTheme="minorHAnsi" w:hAnsiTheme="minorHAnsi" w:cstheme="minorHAnsi"/>
          <w:b/>
          <w:bCs/>
          <w:color w:val="000000" w:themeColor="text1"/>
          <w:sz w:val="21"/>
          <w:szCs w:val="21"/>
        </w:rPr>
        <w:t>harmonijny rozwój regionu i wysoka jakość życia dolnośląskiej społeczności</w:t>
      </w:r>
      <w:r w:rsidRPr="0082157C">
        <w:rPr>
          <w:rFonts w:asciiTheme="minorHAnsi" w:hAnsiTheme="minorHAnsi" w:cstheme="minorHAnsi"/>
          <w:bCs/>
          <w:color w:val="000000" w:themeColor="text1"/>
          <w:sz w:val="21"/>
          <w:szCs w:val="21"/>
        </w:rPr>
        <w:t xml:space="preserve"> oraz</w:t>
      </w:r>
      <w:r w:rsidRPr="0082157C">
        <w:rPr>
          <w:rFonts w:asciiTheme="minorHAnsi" w:hAnsiTheme="minorHAnsi" w:cstheme="minorHAnsi"/>
          <w:b/>
          <w:bCs/>
          <w:color w:val="000000" w:themeColor="text1"/>
          <w:sz w:val="21"/>
          <w:szCs w:val="21"/>
        </w:rPr>
        <w:t xml:space="preserve"> </w:t>
      </w:r>
      <w:r w:rsidRPr="0082157C">
        <w:rPr>
          <w:rFonts w:asciiTheme="minorHAnsi" w:hAnsiTheme="minorHAnsi" w:cstheme="minorHAnsi"/>
          <w:bCs/>
          <w:color w:val="000000" w:themeColor="text1"/>
          <w:sz w:val="21"/>
          <w:szCs w:val="21"/>
        </w:rPr>
        <w:t>przyporządkowanych mu pięciu celów strategicznych:</w:t>
      </w:r>
    </w:p>
    <w:p w:rsidR="00FD7829" w:rsidRPr="0082157C" w:rsidRDefault="00FD7829" w:rsidP="00394337">
      <w:pPr>
        <w:numPr>
          <w:ilvl w:val="0"/>
          <w:numId w:val="68"/>
        </w:numPr>
        <w:tabs>
          <w:tab w:val="clear" w:pos="720"/>
          <w:tab w:val="num" w:pos="567"/>
        </w:tabs>
        <w:spacing w:after="0" w:line="266" w:lineRule="auto"/>
        <w:ind w:left="567" w:hanging="283"/>
        <w:jc w:val="both"/>
        <w:rPr>
          <w:rFonts w:asciiTheme="minorHAnsi" w:hAnsiTheme="minorHAnsi" w:cstheme="minorHAnsi"/>
          <w:bCs/>
          <w:color w:val="000000" w:themeColor="text1"/>
          <w:sz w:val="21"/>
          <w:szCs w:val="21"/>
        </w:rPr>
      </w:pPr>
      <w:r w:rsidRPr="0082157C">
        <w:rPr>
          <w:rFonts w:asciiTheme="minorHAnsi" w:hAnsiTheme="minorHAnsi" w:cstheme="minorHAnsi"/>
          <w:bCs/>
          <w:color w:val="000000" w:themeColor="text1"/>
          <w:sz w:val="21"/>
          <w:szCs w:val="21"/>
        </w:rPr>
        <w:t>efektywne wykorzystanie gospodarczego potencjału regionu;</w:t>
      </w:r>
    </w:p>
    <w:p w:rsidR="00FD7829" w:rsidRPr="0082157C" w:rsidRDefault="00FD7829" w:rsidP="00394337">
      <w:pPr>
        <w:numPr>
          <w:ilvl w:val="0"/>
          <w:numId w:val="68"/>
        </w:numPr>
        <w:tabs>
          <w:tab w:val="clear" w:pos="720"/>
          <w:tab w:val="num" w:pos="567"/>
        </w:tabs>
        <w:spacing w:after="0" w:line="266" w:lineRule="auto"/>
        <w:ind w:left="567" w:hanging="283"/>
        <w:jc w:val="both"/>
        <w:rPr>
          <w:rFonts w:asciiTheme="minorHAnsi" w:hAnsiTheme="minorHAnsi" w:cstheme="minorHAnsi"/>
          <w:bCs/>
          <w:color w:val="000000" w:themeColor="text1"/>
          <w:sz w:val="21"/>
          <w:szCs w:val="21"/>
        </w:rPr>
      </w:pPr>
      <w:r w:rsidRPr="0082157C">
        <w:rPr>
          <w:rFonts w:asciiTheme="minorHAnsi" w:hAnsiTheme="minorHAnsi" w:cstheme="minorHAnsi"/>
          <w:bCs/>
          <w:color w:val="000000" w:themeColor="text1"/>
          <w:sz w:val="21"/>
          <w:szCs w:val="21"/>
        </w:rPr>
        <w:t>poprawa jakości i dostępności usług publicznych;</w:t>
      </w:r>
    </w:p>
    <w:p w:rsidR="00FD7829" w:rsidRPr="0082157C" w:rsidRDefault="00FD7829" w:rsidP="00394337">
      <w:pPr>
        <w:numPr>
          <w:ilvl w:val="0"/>
          <w:numId w:val="68"/>
        </w:numPr>
        <w:tabs>
          <w:tab w:val="clear" w:pos="720"/>
          <w:tab w:val="num" w:pos="567"/>
        </w:tabs>
        <w:spacing w:after="0" w:line="266" w:lineRule="auto"/>
        <w:ind w:left="567" w:hanging="283"/>
        <w:jc w:val="both"/>
        <w:rPr>
          <w:rFonts w:asciiTheme="minorHAnsi" w:hAnsiTheme="minorHAnsi" w:cstheme="minorHAnsi"/>
          <w:bCs/>
          <w:color w:val="000000" w:themeColor="text1"/>
          <w:sz w:val="21"/>
          <w:szCs w:val="21"/>
        </w:rPr>
      </w:pPr>
      <w:r w:rsidRPr="0082157C">
        <w:rPr>
          <w:rFonts w:asciiTheme="minorHAnsi" w:hAnsiTheme="minorHAnsi" w:cstheme="minorHAnsi"/>
          <w:bCs/>
          <w:color w:val="000000" w:themeColor="text1"/>
          <w:sz w:val="21"/>
          <w:szCs w:val="21"/>
        </w:rPr>
        <w:t>wzmocnienie regionalnego kapitału ludzkiego i społecznego;</w:t>
      </w:r>
    </w:p>
    <w:p w:rsidR="00FD7829" w:rsidRPr="0082157C" w:rsidRDefault="00FD7829" w:rsidP="00394337">
      <w:pPr>
        <w:numPr>
          <w:ilvl w:val="0"/>
          <w:numId w:val="68"/>
        </w:numPr>
        <w:tabs>
          <w:tab w:val="clear" w:pos="720"/>
          <w:tab w:val="num" w:pos="567"/>
        </w:tabs>
        <w:spacing w:after="0" w:line="266" w:lineRule="auto"/>
        <w:ind w:left="567" w:hanging="283"/>
        <w:jc w:val="both"/>
        <w:rPr>
          <w:rFonts w:asciiTheme="minorHAnsi" w:hAnsiTheme="minorHAnsi" w:cstheme="minorHAnsi"/>
          <w:bCs/>
          <w:color w:val="000000" w:themeColor="text1"/>
          <w:sz w:val="21"/>
          <w:szCs w:val="21"/>
        </w:rPr>
      </w:pPr>
      <w:r w:rsidRPr="0082157C">
        <w:rPr>
          <w:rFonts w:asciiTheme="minorHAnsi" w:hAnsiTheme="minorHAnsi" w:cstheme="minorHAnsi"/>
          <w:bCs/>
          <w:color w:val="000000" w:themeColor="text1"/>
          <w:sz w:val="21"/>
          <w:szCs w:val="21"/>
        </w:rPr>
        <w:t>odpowiedzialne wykorzystanie zasobów i ochrona walorów środowiska naturalnego i dziedzictwa kulturowego;</w:t>
      </w:r>
    </w:p>
    <w:p w:rsidR="00FD7829" w:rsidRPr="0082157C" w:rsidRDefault="00FD7829" w:rsidP="00394337">
      <w:pPr>
        <w:numPr>
          <w:ilvl w:val="0"/>
          <w:numId w:val="68"/>
        </w:numPr>
        <w:tabs>
          <w:tab w:val="clear" w:pos="720"/>
          <w:tab w:val="num" w:pos="567"/>
        </w:tabs>
        <w:spacing w:after="0" w:line="266" w:lineRule="auto"/>
        <w:ind w:left="567" w:hanging="283"/>
        <w:jc w:val="both"/>
        <w:rPr>
          <w:rFonts w:asciiTheme="minorHAnsi" w:hAnsiTheme="minorHAnsi" w:cstheme="minorHAnsi"/>
          <w:bCs/>
          <w:color w:val="000000" w:themeColor="text1"/>
          <w:sz w:val="21"/>
          <w:szCs w:val="21"/>
        </w:rPr>
      </w:pPr>
      <w:r w:rsidRPr="0082157C">
        <w:rPr>
          <w:rFonts w:asciiTheme="minorHAnsi" w:hAnsiTheme="minorHAnsi" w:cstheme="minorHAnsi"/>
          <w:bCs/>
          <w:color w:val="000000" w:themeColor="text1"/>
          <w:sz w:val="21"/>
          <w:szCs w:val="21"/>
        </w:rPr>
        <w:t>wzmocnienie przestrzennej spójności regionu.</w:t>
      </w:r>
    </w:p>
    <w:p w:rsidR="009F7937" w:rsidRPr="0082157C" w:rsidRDefault="00FD7829" w:rsidP="00394337">
      <w:pPr>
        <w:tabs>
          <w:tab w:val="left" w:pos="426"/>
        </w:tabs>
        <w:spacing w:after="0" w:line="266" w:lineRule="auto"/>
        <w:ind w:firstLine="567"/>
        <w:jc w:val="both"/>
        <w:rPr>
          <w:rFonts w:asciiTheme="minorHAnsi" w:hAnsiTheme="minorHAnsi" w:cstheme="minorHAnsi"/>
          <w:bCs/>
          <w:color w:val="000000" w:themeColor="text1"/>
          <w:sz w:val="21"/>
          <w:szCs w:val="21"/>
        </w:rPr>
      </w:pPr>
      <w:r w:rsidRPr="0082157C">
        <w:rPr>
          <w:rFonts w:asciiTheme="minorHAnsi" w:hAnsiTheme="minorHAnsi" w:cstheme="minorHAnsi"/>
          <w:bCs/>
          <w:color w:val="000000" w:themeColor="text1"/>
          <w:sz w:val="21"/>
          <w:szCs w:val="21"/>
        </w:rPr>
        <w:t>Realizacji tychże celów strategicznych służyć zaś będą różnorodne przedsięwzięcia ujęte w prawie 90 kierunkach działań strategicznych.</w:t>
      </w:r>
    </w:p>
    <w:p w:rsidR="009F7937" w:rsidRPr="0082157C" w:rsidRDefault="00FD7829" w:rsidP="00394337">
      <w:pPr>
        <w:tabs>
          <w:tab w:val="left" w:pos="426"/>
        </w:tabs>
        <w:spacing w:after="0" w:line="266" w:lineRule="auto"/>
        <w:ind w:firstLine="567"/>
        <w:jc w:val="both"/>
        <w:rPr>
          <w:rFonts w:asciiTheme="minorHAnsi" w:hAnsiTheme="minorHAnsi" w:cstheme="minorHAnsi"/>
          <w:color w:val="000000" w:themeColor="text1"/>
          <w:sz w:val="21"/>
          <w:szCs w:val="21"/>
        </w:rPr>
      </w:pPr>
      <w:r w:rsidRPr="0082157C">
        <w:rPr>
          <w:rFonts w:asciiTheme="minorHAnsi" w:hAnsiTheme="minorHAnsi" w:cstheme="minorHAnsi"/>
          <w:color w:val="000000" w:themeColor="text1"/>
          <w:sz w:val="21"/>
          <w:szCs w:val="21"/>
        </w:rPr>
        <w:t>Skuteczna realizacja polityki rozwoju województwa dolnośląskiego wyrażonej w niniejszej strategii możliwa będzie dzięki określeniu priorytetów i ich terytorialnemu ukierunkowaniu, uwzględniającemu charakter i zakres niezbędnej strategicznej interwencji oraz specyficzne wyzwania rozwojowe.</w:t>
      </w:r>
    </w:p>
    <w:p w:rsidR="009F7937" w:rsidRPr="0082157C" w:rsidRDefault="00FD7829" w:rsidP="00394337">
      <w:pPr>
        <w:tabs>
          <w:tab w:val="left" w:pos="426"/>
          <w:tab w:val="num" w:pos="720"/>
        </w:tabs>
        <w:spacing w:after="0" w:line="266" w:lineRule="auto"/>
        <w:ind w:firstLine="567"/>
        <w:jc w:val="both"/>
        <w:rPr>
          <w:rFonts w:asciiTheme="minorHAnsi" w:hAnsiTheme="minorHAnsi" w:cstheme="minorHAnsi"/>
          <w:color w:val="000000" w:themeColor="text1"/>
          <w:sz w:val="21"/>
          <w:szCs w:val="21"/>
        </w:rPr>
      </w:pPr>
      <w:r w:rsidRPr="0082157C">
        <w:rPr>
          <w:rFonts w:asciiTheme="minorHAnsi" w:hAnsiTheme="minorHAnsi" w:cstheme="minorHAnsi"/>
          <w:color w:val="000000" w:themeColor="text1"/>
          <w:sz w:val="21"/>
          <w:szCs w:val="21"/>
        </w:rPr>
        <w:t xml:space="preserve">W ujęciu horyzontalnym (obejmującym całe województwo) za priorytetowe przyjęto sześć kierunków strategicznej interwencji dotyczących </w:t>
      </w:r>
      <w:r w:rsidRPr="0082157C">
        <w:rPr>
          <w:rFonts w:asciiTheme="minorHAnsi" w:hAnsiTheme="minorHAnsi" w:cstheme="minorHAnsi"/>
          <w:bCs/>
          <w:color w:val="000000" w:themeColor="text1"/>
          <w:sz w:val="21"/>
          <w:szCs w:val="21"/>
        </w:rPr>
        <w:t>zwiększenia bezpieczeństwa zdrowotnego, doskonalenia usług edukacyjnych, kształtowania postaw obywatelskich, rozwoju potencjału komunikacyjnego, wykorzystania potencjału środowiska oraz wzmocnienia rozwoju regionalnych i </w:t>
      </w:r>
      <w:proofErr w:type="spellStart"/>
      <w:r w:rsidRPr="0082157C">
        <w:rPr>
          <w:rFonts w:asciiTheme="minorHAnsi" w:hAnsiTheme="minorHAnsi" w:cstheme="minorHAnsi"/>
          <w:bCs/>
          <w:color w:val="000000" w:themeColor="text1"/>
          <w:sz w:val="21"/>
          <w:szCs w:val="21"/>
        </w:rPr>
        <w:t>subregionalnych</w:t>
      </w:r>
      <w:proofErr w:type="spellEnd"/>
      <w:r w:rsidRPr="0082157C">
        <w:rPr>
          <w:rFonts w:asciiTheme="minorHAnsi" w:hAnsiTheme="minorHAnsi" w:cstheme="minorHAnsi"/>
          <w:bCs/>
          <w:color w:val="000000" w:themeColor="text1"/>
          <w:sz w:val="21"/>
          <w:szCs w:val="21"/>
        </w:rPr>
        <w:t xml:space="preserve"> ośrodków miejskich. </w:t>
      </w:r>
      <w:r w:rsidRPr="0082157C">
        <w:rPr>
          <w:rFonts w:asciiTheme="minorHAnsi" w:hAnsiTheme="minorHAnsi" w:cstheme="minorHAnsi"/>
          <w:color w:val="000000" w:themeColor="text1"/>
          <w:sz w:val="21"/>
          <w:szCs w:val="21"/>
        </w:rPr>
        <w:t>Ponadto uwzględniono wyraźnie terytorialne podejście wyróżniając sześć obszarów interwencji, którym dedykowane są dostosowane do nich specyficzne kierunki działań strategicznych.</w:t>
      </w:r>
    </w:p>
    <w:p w:rsidR="00FD7829" w:rsidRPr="0082157C" w:rsidRDefault="00FD7829" w:rsidP="00394337">
      <w:pPr>
        <w:pStyle w:val="Akapitzlist"/>
        <w:spacing w:after="0" w:line="266" w:lineRule="auto"/>
        <w:ind w:left="0" w:firstLine="567"/>
        <w:contextualSpacing w:val="0"/>
        <w:jc w:val="both"/>
        <w:rPr>
          <w:rFonts w:asciiTheme="minorHAnsi" w:hAnsiTheme="minorHAnsi" w:cstheme="minorHAnsi"/>
          <w:color w:val="000000" w:themeColor="text1"/>
          <w:sz w:val="21"/>
          <w:szCs w:val="21"/>
        </w:rPr>
      </w:pPr>
      <w:r w:rsidRPr="0082157C">
        <w:rPr>
          <w:rFonts w:asciiTheme="minorHAnsi" w:hAnsiTheme="minorHAnsi" w:cstheme="minorHAnsi"/>
          <w:color w:val="000000" w:themeColor="text1"/>
          <w:sz w:val="21"/>
          <w:szCs w:val="21"/>
        </w:rPr>
        <w:t>Efektywna realizacja wskazanych w strategii rozwoju Dolnego Śląska do 2030 roku horyzontalnych oraz dedykowanych terytorialnie kierunków strategicznej interwencji wymagać będzie właściwego zarządzania, zabezpieczenia finansowego (poprzez montaż krajowych i unijnych źródeł) oraz determinacji zarówno samorządowych władz województwa, jak i całej regionalnej społeczności.</w:t>
      </w:r>
    </w:p>
    <w:p w:rsidR="00FD7829" w:rsidRPr="0082157C" w:rsidRDefault="00FD7829" w:rsidP="00394337">
      <w:pPr>
        <w:pStyle w:val="Akapitzlist"/>
        <w:spacing w:after="0" w:line="266" w:lineRule="auto"/>
        <w:ind w:left="0" w:firstLine="567"/>
        <w:contextualSpacing w:val="0"/>
        <w:jc w:val="both"/>
        <w:rPr>
          <w:rFonts w:asciiTheme="minorHAnsi" w:hAnsiTheme="minorHAnsi" w:cstheme="minorHAnsi"/>
          <w:color w:val="000000" w:themeColor="text1"/>
          <w:sz w:val="21"/>
          <w:szCs w:val="21"/>
        </w:rPr>
      </w:pPr>
      <w:r w:rsidRPr="0082157C">
        <w:rPr>
          <w:rFonts w:asciiTheme="minorHAnsi" w:hAnsiTheme="minorHAnsi" w:cstheme="minorHAnsi"/>
          <w:color w:val="000000" w:themeColor="text1"/>
          <w:sz w:val="21"/>
          <w:szCs w:val="21"/>
        </w:rPr>
        <w:t xml:space="preserve">Sformułowana strategia rozwoju regionu dolnośląskiego obejmuje swym zakresem kierunki działań strategicznych wynikające z polityki </w:t>
      </w:r>
      <w:proofErr w:type="spellStart"/>
      <w:r w:rsidRPr="0082157C">
        <w:rPr>
          <w:rFonts w:asciiTheme="minorHAnsi" w:hAnsiTheme="minorHAnsi" w:cstheme="minorHAnsi"/>
          <w:color w:val="000000" w:themeColor="text1"/>
          <w:sz w:val="21"/>
          <w:szCs w:val="21"/>
        </w:rPr>
        <w:t>inter</w:t>
      </w:r>
      <w:proofErr w:type="spellEnd"/>
      <w:r w:rsidRPr="0082157C">
        <w:rPr>
          <w:rFonts w:asciiTheme="minorHAnsi" w:hAnsiTheme="minorHAnsi" w:cstheme="minorHAnsi"/>
          <w:color w:val="000000" w:themeColor="text1"/>
          <w:sz w:val="21"/>
          <w:szCs w:val="21"/>
        </w:rPr>
        <w:t xml:space="preserve">- i </w:t>
      </w:r>
      <w:proofErr w:type="spellStart"/>
      <w:r w:rsidRPr="0082157C">
        <w:rPr>
          <w:rFonts w:asciiTheme="minorHAnsi" w:hAnsiTheme="minorHAnsi" w:cstheme="minorHAnsi"/>
          <w:color w:val="000000" w:themeColor="text1"/>
          <w:sz w:val="21"/>
          <w:szCs w:val="21"/>
        </w:rPr>
        <w:t>intraregionalnej</w:t>
      </w:r>
      <w:proofErr w:type="spellEnd"/>
      <w:r w:rsidRPr="0082157C">
        <w:rPr>
          <w:rFonts w:asciiTheme="minorHAnsi" w:hAnsiTheme="minorHAnsi" w:cstheme="minorHAnsi"/>
          <w:color w:val="000000" w:themeColor="text1"/>
          <w:sz w:val="21"/>
          <w:szCs w:val="21"/>
        </w:rPr>
        <w:t>. Należy jednak zaznaczyć, iż strategia rozwoju regionu nie jest w stanie zastąpić strategicznych programów rozwoju poszczególnych dolnośląskich gmin i</w:t>
      </w:r>
      <w:r w:rsidR="00394337" w:rsidRPr="0082157C">
        <w:rPr>
          <w:rFonts w:asciiTheme="minorHAnsi" w:hAnsiTheme="minorHAnsi" w:cstheme="minorHAnsi"/>
          <w:color w:val="000000" w:themeColor="text1"/>
          <w:sz w:val="21"/>
          <w:szCs w:val="21"/>
        </w:rPr>
        <w:t> </w:t>
      </w:r>
      <w:r w:rsidRPr="0082157C">
        <w:rPr>
          <w:rFonts w:asciiTheme="minorHAnsi" w:hAnsiTheme="minorHAnsi" w:cstheme="minorHAnsi"/>
          <w:color w:val="000000" w:themeColor="text1"/>
          <w:sz w:val="21"/>
          <w:szCs w:val="21"/>
        </w:rPr>
        <w:t>powiatów. Wynika to w szczególności z wyraźnej odmienności zakresu zadań i kompetencji przypisanych z</w:t>
      </w:r>
      <w:r w:rsidR="00394337" w:rsidRPr="0082157C">
        <w:rPr>
          <w:rFonts w:asciiTheme="minorHAnsi" w:hAnsiTheme="minorHAnsi" w:cstheme="minorHAnsi"/>
          <w:color w:val="000000" w:themeColor="text1"/>
          <w:sz w:val="21"/>
          <w:szCs w:val="21"/>
        </w:rPr>
        <w:t> </w:t>
      </w:r>
      <w:r w:rsidRPr="0082157C">
        <w:rPr>
          <w:rFonts w:asciiTheme="minorHAnsi" w:hAnsiTheme="minorHAnsi" w:cstheme="minorHAnsi"/>
          <w:color w:val="000000" w:themeColor="text1"/>
          <w:sz w:val="21"/>
          <w:szCs w:val="21"/>
        </w:rPr>
        <w:t>jednej strony samorządowym władzom województwa, a z drugiej - władzom gminnym i powiatowym.</w:t>
      </w:r>
    </w:p>
    <w:p w:rsidR="00FD7829" w:rsidRPr="0082157C" w:rsidRDefault="00FD7829" w:rsidP="00394337">
      <w:pPr>
        <w:pStyle w:val="Akapitzlist"/>
        <w:spacing w:after="0" w:line="266" w:lineRule="auto"/>
        <w:ind w:left="0" w:firstLine="567"/>
        <w:contextualSpacing w:val="0"/>
        <w:jc w:val="both"/>
        <w:rPr>
          <w:rFonts w:asciiTheme="minorHAnsi" w:hAnsiTheme="minorHAnsi" w:cstheme="minorHAnsi"/>
          <w:color w:val="000000" w:themeColor="text1"/>
          <w:sz w:val="21"/>
          <w:szCs w:val="21"/>
        </w:rPr>
        <w:sectPr w:rsidR="00FD7829" w:rsidRPr="0082157C" w:rsidSect="00394337">
          <w:headerReference w:type="default" r:id="rId13"/>
          <w:footerReference w:type="even" r:id="rId14"/>
          <w:pgSz w:w="11906" w:h="16838"/>
          <w:pgMar w:top="1571" w:right="1276" w:bottom="993" w:left="1418" w:header="709" w:footer="709" w:gutter="0"/>
          <w:cols w:space="454"/>
          <w:docGrid w:linePitch="360"/>
        </w:sectPr>
      </w:pPr>
      <w:r w:rsidRPr="0082157C">
        <w:rPr>
          <w:rFonts w:asciiTheme="minorHAnsi" w:hAnsiTheme="minorHAnsi" w:cstheme="minorHAnsi"/>
          <w:color w:val="000000" w:themeColor="text1"/>
          <w:sz w:val="21"/>
          <w:szCs w:val="21"/>
        </w:rPr>
        <w:t>Strategia rozwoju województwa dolnośląskiego do roku 2030 jest dokumentem proaktywnym i otwartym, dokumentem, którego realizacja będzie podlegać systematycznym ewaluacyjnym ocenom, a także ciągłej weryfikacji i doskonaleniu w ślad za zmieniającymi się uwarunkowaniami.</w:t>
      </w:r>
    </w:p>
    <w:p w:rsidR="000C6BE4" w:rsidRPr="00AE35C1" w:rsidRDefault="00FD7829" w:rsidP="009916E0">
      <w:pPr>
        <w:pStyle w:val="Nagwek1"/>
        <w:spacing w:before="400"/>
      </w:pPr>
      <w:bookmarkStart w:id="6" w:name="_Toc511716301"/>
      <w:r>
        <w:lastRenderedPageBreak/>
        <w:t>1.</w:t>
      </w:r>
      <w:r w:rsidR="000C6BE4" w:rsidRPr="00AE35C1">
        <w:t xml:space="preserve"> DIAGNOZA PROSPEKTYWNA</w:t>
      </w:r>
      <w:bookmarkEnd w:id="6"/>
      <w:r w:rsidR="000C6BE4" w:rsidRPr="00AE35C1">
        <w:t xml:space="preserve"> </w:t>
      </w:r>
    </w:p>
    <w:p w:rsidR="000C6BE4" w:rsidRPr="00AE35C1" w:rsidRDefault="000C6BE4" w:rsidP="00770CED">
      <w:pPr>
        <w:pStyle w:val="Nagwek2"/>
        <w:numPr>
          <w:ilvl w:val="1"/>
          <w:numId w:val="59"/>
        </w:numPr>
        <w:ind w:left="426" w:hanging="426"/>
      </w:pPr>
      <w:bookmarkStart w:id="7" w:name="_Toc464214667"/>
      <w:bookmarkStart w:id="8" w:name="_Toc499582758"/>
      <w:bookmarkStart w:id="9" w:name="_Toc511716302"/>
      <w:r w:rsidRPr="00AE35C1">
        <w:t>OGÓLNA CHARAKTERYSTYKA WOJEWÓDZTW</w:t>
      </w:r>
      <w:bookmarkEnd w:id="7"/>
      <w:r w:rsidRPr="00AE35C1">
        <w:t>A</w:t>
      </w:r>
      <w:bookmarkEnd w:id="8"/>
      <w:bookmarkEnd w:id="9"/>
    </w:p>
    <w:tbl>
      <w:tblPr>
        <w:tblW w:w="9356" w:type="dxa"/>
        <w:tblInd w:w="-142" w:type="dxa"/>
        <w:tblLayout w:type="fixed"/>
        <w:tblLook w:val="04A0"/>
      </w:tblPr>
      <w:tblGrid>
        <w:gridCol w:w="4537"/>
        <w:gridCol w:w="4819"/>
      </w:tblGrid>
      <w:tr w:rsidR="000C6BE4" w:rsidRPr="00AE35C1" w:rsidTr="009916E0">
        <w:tc>
          <w:tcPr>
            <w:tcW w:w="4537" w:type="dxa"/>
          </w:tcPr>
          <w:p w:rsidR="000C6BE4" w:rsidRPr="00AE35C1" w:rsidRDefault="000C6BE4" w:rsidP="009916E0">
            <w:pPr>
              <w:pStyle w:val="TEKST"/>
              <w:tabs>
                <w:tab w:val="left" w:pos="4752"/>
              </w:tabs>
              <w:spacing w:after="0"/>
              <w:ind w:right="-108"/>
            </w:pPr>
            <w:r w:rsidRPr="00AE35C1">
              <w:rPr>
                <w:sz w:val="19"/>
                <w:szCs w:val="19"/>
              </w:rPr>
              <w:t>Dolny Śląsk to siódme pod względem wielkości obszaru (19 947 km</w:t>
            </w:r>
            <w:r w:rsidRPr="00AE35C1">
              <w:rPr>
                <w:sz w:val="19"/>
                <w:szCs w:val="19"/>
                <w:vertAlign w:val="superscript"/>
              </w:rPr>
              <w:t>2</w:t>
            </w:r>
            <w:r w:rsidRPr="00AE35C1">
              <w:rPr>
                <w:sz w:val="19"/>
                <w:szCs w:val="19"/>
              </w:rPr>
              <w:t xml:space="preserve">) województwo w Polsce i piąte pod względem liczby mieszkańców (2,9 mln). Położone jest w południowo-zachodniej części Polski i sąsiaduje z województwami: lubuskim, opolskim i wielkopolskim. Od zachodu graniczy z Republiką Federalną Niemiec (z krajem związkowym Saksonią), a od południa – z Republiką Czeską (z krajami: </w:t>
            </w:r>
            <w:proofErr w:type="spellStart"/>
            <w:r w:rsidRPr="00AE35C1">
              <w:rPr>
                <w:sz w:val="19"/>
                <w:szCs w:val="19"/>
              </w:rPr>
              <w:t>hradeckim</w:t>
            </w:r>
            <w:proofErr w:type="spellEnd"/>
            <w:r w:rsidRPr="00AE35C1">
              <w:rPr>
                <w:sz w:val="19"/>
                <w:szCs w:val="19"/>
              </w:rPr>
              <w:t xml:space="preserve">, </w:t>
            </w:r>
            <w:proofErr w:type="spellStart"/>
            <w:r w:rsidRPr="00AE35C1">
              <w:rPr>
                <w:sz w:val="19"/>
                <w:szCs w:val="19"/>
              </w:rPr>
              <w:t>libereckim</w:t>
            </w:r>
            <w:proofErr w:type="spellEnd"/>
            <w:r w:rsidRPr="00AE35C1">
              <w:rPr>
                <w:sz w:val="19"/>
                <w:szCs w:val="19"/>
              </w:rPr>
              <w:t>, ołomunieckim i pardubickim). Granice te przebiegają wzdłuż naturalnych barier w postaci Nysy Łużyckiej i pasma Sudetów. Region i</w:t>
            </w:r>
            <w:r w:rsidR="008725E7" w:rsidRPr="00AE35C1">
              <w:rPr>
                <w:sz w:val="19"/>
                <w:szCs w:val="19"/>
              </w:rPr>
              <w:t xml:space="preserve"> </w:t>
            </w:r>
            <w:r w:rsidRPr="00AE35C1">
              <w:rPr>
                <w:sz w:val="19"/>
                <w:szCs w:val="19"/>
              </w:rPr>
              <w:t xml:space="preserve">jego stolica – miasto Wrocław – mają korzystne położenie </w:t>
            </w:r>
            <w:r w:rsidR="003E2BC8" w:rsidRPr="00AE35C1">
              <w:rPr>
                <w:sz w:val="19"/>
                <w:szCs w:val="19"/>
              </w:rPr>
              <w:t xml:space="preserve">geograficzne </w:t>
            </w:r>
            <w:r w:rsidRPr="00AE35C1">
              <w:rPr>
                <w:sz w:val="19"/>
                <w:szCs w:val="19"/>
              </w:rPr>
              <w:t>w</w:t>
            </w:r>
            <w:r w:rsidR="005D433D">
              <w:rPr>
                <w:sz w:val="19"/>
                <w:szCs w:val="19"/>
              </w:rPr>
              <w:t> </w:t>
            </w:r>
            <w:r w:rsidRPr="00AE35C1">
              <w:rPr>
                <w:sz w:val="19"/>
                <w:szCs w:val="19"/>
              </w:rPr>
              <w:t xml:space="preserve">Europie Środkowej. W stosunkowo </w:t>
            </w:r>
            <w:r w:rsidR="000666B0" w:rsidRPr="00AE35C1">
              <w:rPr>
                <w:sz w:val="19"/>
                <w:szCs w:val="19"/>
              </w:rPr>
              <w:t>niewielkiej odległości znajdują </w:t>
            </w:r>
            <w:r w:rsidRPr="00AE35C1">
              <w:rPr>
                <w:sz w:val="19"/>
                <w:szCs w:val="19"/>
              </w:rPr>
              <w:t>się 3</w:t>
            </w:r>
            <w:r w:rsidR="00F37401" w:rsidRPr="00AE35C1">
              <w:rPr>
                <w:sz w:val="19"/>
                <w:szCs w:val="19"/>
              </w:rPr>
              <w:t> </w:t>
            </w:r>
            <w:r w:rsidRPr="00AE35C1">
              <w:rPr>
                <w:sz w:val="19"/>
                <w:szCs w:val="19"/>
              </w:rPr>
              <w:t>stolice państw: Praga, Berlin i Warszawa, a</w:t>
            </w:r>
            <w:r w:rsidR="009916E0">
              <w:rPr>
                <w:sz w:val="19"/>
                <w:szCs w:val="19"/>
              </w:rPr>
              <w:t> </w:t>
            </w:r>
            <w:r w:rsidRPr="00AE35C1">
              <w:rPr>
                <w:sz w:val="19"/>
                <w:szCs w:val="19"/>
              </w:rPr>
              <w:t xml:space="preserve">powiązania z siecią miast europejskich są potencjałem rozwoju regionu. </w:t>
            </w:r>
          </w:p>
        </w:tc>
        <w:tc>
          <w:tcPr>
            <w:tcW w:w="4819" w:type="dxa"/>
          </w:tcPr>
          <w:p w:rsidR="000C6BE4" w:rsidRPr="00AE35C1" w:rsidRDefault="000C6BE4" w:rsidP="0082157C">
            <w:pPr>
              <w:pStyle w:val="MAPA"/>
              <w:spacing w:before="0" w:line="288" w:lineRule="auto"/>
              <w:ind w:left="884" w:hanging="709"/>
              <w:jc w:val="both"/>
              <w:rPr>
                <w:rFonts w:ascii="Calibri" w:hAnsi="Calibri" w:cs="Calibri"/>
                <w:sz w:val="18"/>
                <w:szCs w:val="18"/>
              </w:rPr>
            </w:pPr>
            <w:bookmarkStart w:id="10" w:name="_Toc495922933"/>
            <w:r w:rsidRPr="00AE35C1">
              <w:rPr>
                <w:rFonts w:ascii="Calibri" w:hAnsi="Calibri" w:cs="Calibri"/>
                <w:sz w:val="18"/>
                <w:szCs w:val="18"/>
              </w:rPr>
              <w:t xml:space="preserve">MAPA </w:t>
            </w:r>
            <w:r w:rsidR="00E6670D" w:rsidRPr="00AE35C1">
              <w:rPr>
                <w:rFonts w:ascii="Calibri" w:hAnsi="Calibri" w:cs="Calibri"/>
                <w:sz w:val="18"/>
                <w:szCs w:val="18"/>
              </w:rPr>
              <w:fldChar w:fldCharType="begin"/>
            </w:r>
            <w:r w:rsidRPr="00AE35C1">
              <w:rPr>
                <w:rFonts w:ascii="Calibri" w:hAnsi="Calibri" w:cs="Calibri"/>
                <w:sz w:val="18"/>
                <w:szCs w:val="18"/>
              </w:rPr>
              <w:instrText xml:space="preserve"> SEQ MAPA \* ARABIC </w:instrText>
            </w:r>
            <w:r w:rsidR="00E6670D" w:rsidRPr="00AE35C1">
              <w:rPr>
                <w:rFonts w:ascii="Calibri" w:hAnsi="Calibri" w:cs="Calibri"/>
                <w:sz w:val="18"/>
                <w:szCs w:val="18"/>
              </w:rPr>
              <w:fldChar w:fldCharType="separate"/>
            </w:r>
            <w:r w:rsidR="0013522B">
              <w:rPr>
                <w:rFonts w:ascii="Calibri" w:hAnsi="Calibri" w:cs="Calibri"/>
                <w:sz w:val="18"/>
                <w:szCs w:val="18"/>
              </w:rPr>
              <w:t>1</w:t>
            </w:r>
            <w:r w:rsidR="00E6670D" w:rsidRPr="00AE35C1">
              <w:rPr>
                <w:rFonts w:ascii="Calibri" w:hAnsi="Calibri" w:cs="Calibri"/>
                <w:sz w:val="18"/>
                <w:szCs w:val="18"/>
              </w:rPr>
              <w:fldChar w:fldCharType="end"/>
            </w:r>
            <w:r w:rsidRPr="00AE35C1">
              <w:rPr>
                <w:rFonts w:ascii="Calibri" w:hAnsi="Calibri" w:cs="Calibri"/>
                <w:sz w:val="18"/>
                <w:szCs w:val="18"/>
              </w:rPr>
              <w:t>. Położenie województwa dolnośląskiego na tle Europy Środkowej</w:t>
            </w:r>
            <w:bookmarkEnd w:id="10"/>
          </w:p>
          <w:p w:rsidR="003A5112" w:rsidRPr="003A5112" w:rsidRDefault="003A5112" w:rsidP="00E7427F">
            <w:pPr>
              <w:spacing w:after="0"/>
              <w:jc w:val="right"/>
              <w:rPr>
                <w:lang w:eastAsia="pl-PL"/>
              </w:rPr>
            </w:pPr>
            <w:r w:rsidRPr="003A5112">
              <w:rPr>
                <w:noProof/>
                <w:lang w:eastAsia="pl-PL"/>
              </w:rPr>
              <w:drawing>
                <wp:inline distT="0" distB="0" distL="0" distR="0">
                  <wp:extent cx="2720721" cy="2124151"/>
                  <wp:effectExtent l="0" t="0" r="3810" b="0"/>
                  <wp:docPr id="67" name="Obraz 64" descr="201802_WDwEur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_WDwEuropie.jpg"/>
                          <pic:cNvPicPr/>
                        </pic:nvPicPr>
                        <pic:blipFill>
                          <a:blip r:embed="rId15" cstate="print"/>
                          <a:stretch>
                            <a:fillRect/>
                          </a:stretch>
                        </pic:blipFill>
                        <pic:spPr>
                          <a:xfrm>
                            <a:off x="0" y="0"/>
                            <a:ext cx="2725956" cy="2128238"/>
                          </a:xfrm>
                          <a:prstGeom prst="rect">
                            <a:avLst/>
                          </a:prstGeom>
                        </pic:spPr>
                      </pic:pic>
                    </a:graphicData>
                  </a:graphic>
                </wp:inline>
              </w:drawing>
            </w:r>
          </w:p>
          <w:p w:rsidR="000C6BE4" w:rsidRPr="003A5112" w:rsidRDefault="003A5112" w:rsidP="003A5112">
            <w:pPr>
              <w:pStyle w:val="RDO"/>
              <w:spacing w:after="0" w:line="288" w:lineRule="auto"/>
              <w:ind w:firstLine="317"/>
              <w:rPr>
                <w:rFonts w:cs="Arial"/>
                <w:color w:val="000000"/>
                <w:szCs w:val="19"/>
              </w:rPr>
            </w:pPr>
            <w:r w:rsidRPr="00AE35C1">
              <w:rPr>
                <w:rFonts w:cs="Arial"/>
                <w:color w:val="000000"/>
              </w:rPr>
              <w:t>Źródło: opracowanie własne.</w:t>
            </w:r>
          </w:p>
        </w:tc>
      </w:tr>
    </w:tbl>
    <w:p w:rsidR="000C6BE4" w:rsidRPr="00AE35C1" w:rsidRDefault="000C6BE4" w:rsidP="005F49A2">
      <w:pPr>
        <w:pStyle w:val="TEKST"/>
        <w:spacing w:after="0"/>
        <w:rPr>
          <w:rStyle w:val="RDOZnak"/>
          <w:rFonts w:eastAsia="Calibri"/>
          <w:i w:val="0"/>
          <w:color w:val="000000"/>
          <w:sz w:val="2"/>
          <w:szCs w:val="2"/>
        </w:rPr>
        <w:sectPr w:rsidR="000C6BE4" w:rsidRPr="00AE35C1" w:rsidSect="00E73C96">
          <w:pgSz w:w="11906" w:h="16838"/>
          <w:pgMar w:top="1571" w:right="1276" w:bottom="1134" w:left="1418" w:header="709" w:footer="709" w:gutter="0"/>
          <w:cols w:space="454"/>
          <w:docGrid w:linePitch="360"/>
        </w:sectPr>
      </w:pPr>
      <w:bookmarkStart w:id="11" w:name="_Toc464214668"/>
    </w:p>
    <w:p w:rsidR="000C6BE4" w:rsidRPr="00AE35C1" w:rsidRDefault="000C6BE4" w:rsidP="005F49A2">
      <w:pPr>
        <w:pStyle w:val="TEKST"/>
        <w:rPr>
          <w:sz w:val="19"/>
          <w:szCs w:val="19"/>
        </w:rPr>
      </w:pPr>
      <w:r w:rsidRPr="00AE35C1">
        <w:rPr>
          <w:sz w:val="19"/>
          <w:szCs w:val="19"/>
        </w:rPr>
        <w:lastRenderedPageBreak/>
        <w:t xml:space="preserve">Przez region przebiega korytarz </w:t>
      </w:r>
      <w:r w:rsidR="003E2BC8" w:rsidRPr="00AE35C1">
        <w:rPr>
          <w:sz w:val="19"/>
          <w:szCs w:val="19"/>
        </w:rPr>
        <w:t xml:space="preserve">transportowy </w:t>
      </w:r>
      <w:r w:rsidRPr="00AE35C1">
        <w:rPr>
          <w:sz w:val="19"/>
          <w:szCs w:val="19"/>
        </w:rPr>
        <w:t>Bałtyk – Adriatyk sieci bazowej TEN-T. Krzyżuje się tu, i częściowo pokrywa, z</w:t>
      </w:r>
      <w:r w:rsidR="00F37401" w:rsidRPr="00AE35C1">
        <w:rPr>
          <w:sz w:val="19"/>
          <w:szCs w:val="19"/>
        </w:rPr>
        <w:t> </w:t>
      </w:r>
      <w:r w:rsidRPr="00AE35C1">
        <w:rPr>
          <w:sz w:val="19"/>
          <w:szCs w:val="19"/>
        </w:rPr>
        <w:t>korytarzem transportowym biegn</w:t>
      </w:r>
      <w:r w:rsidR="000666B0" w:rsidRPr="00AE35C1">
        <w:rPr>
          <w:sz w:val="19"/>
          <w:szCs w:val="19"/>
        </w:rPr>
        <w:t>ącym z Niemiec na </w:t>
      </w:r>
      <w:r w:rsidRPr="00AE35C1">
        <w:rPr>
          <w:sz w:val="19"/>
          <w:szCs w:val="19"/>
        </w:rPr>
        <w:t>Ukrainę (dawny III Paneuropejski Korytarz Transportowy biegnący a</w:t>
      </w:r>
      <w:r w:rsidR="00351768" w:rsidRPr="00AE35C1">
        <w:rPr>
          <w:sz w:val="19"/>
          <w:szCs w:val="19"/>
        </w:rPr>
        <w:t>utostradą A4 i linią kolejową E </w:t>
      </w:r>
      <w:r w:rsidRPr="00AE35C1">
        <w:rPr>
          <w:sz w:val="19"/>
          <w:szCs w:val="19"/>
        </w:rPr>
        <w:t xml:space="preserve">30). System TEN-T uzupełniają drogi i linie kolejowe </w:t>
      </w:r>
      <w:r w:rsidRPr="00AE35C1">
        <w:rPr>
          <w:sz w:val="19"/>
          <w:szCs w:val="19"/>
        </w:rPr>
        <w:lastRenderedPageBreak/>
        <w:t xml:space="preserve">sieci bazowej i kompleksowej. </w:t>
      </w:r>
      <w:r w:rsidR="003E2BC8" w:rsidRPr="00AE35C1">
        <w:rPr>
          <w:sz w:val="19"/>
          <w:szCs w:val="19"/>
        </w:rPr>
        <w:t>Ponadto p</w:t>
      </w:r>
      <w:r w:rsidRPr="00AE35C1">
        <w:rPr>
          <w:sz w:val="19"/>
          <w:szCs w:val="19"/>
        </w:rPr>
        <w:t>lanowana jest budowa kolei dużych prędkości łącząca Wrocław z</w:t>
      </w:r>
      <w:r w:rsidR="008E034C">
        <w:rPr>
          <w:sz w:val="19"/>
          <w:szCs w:val="19"/>
        </w:rPr>
        <w:t> </w:t>
      </w:r>
      <w:r w:rsidRPr="00AE35C1">
        <w:rPr>
          <w:sz w:val="19"/>
          <w:szCs w:val="19"/>
        </w:rPr>
        <w:t>Warszawą, Łodzią, Poznaniem i Pragą. Stolica województwa stanowi ważny terminal drogowo-kolejowy i dysponuje portem lotniczym.</w:t>
      </w:r>
    </w:p>
    <w:p w:rsidR="000C6BE4" w:rsidRPr="00AE35C1" w:rsidRDefault="000C6BE4" w:rsidP="005F49A2">
      <w:pPr>
        <w:spacing w:line="288" w:lineRule="auto"/>
        <w:sectPr w:rsidR="000C6BE4" w:rsidRPr="00AE35C1" w:rsidSect="00E73C96">
          <w:type w:val="continuous"/>
          <w:pgSz w:w="11906" w:h="16838"/>
          <w:pgMar w:top="1571" w:right="1276" w:bottom="1134" w:left="1418" w:header="709" w:footer="709" w:gutter="0"/>
          <w:cols w:num="2" w:space="454"/>
          <w:docGrid w:linePitch="360"/>
        </w:sectPr>
      </w:pPr>
    </w:p>
    <w:p w:rsidR="000C6BE4" w:rsidRPr="00AE35C1" w:rsidRDefault="000C6BE4" w:rsidP="00770CED">
      <w:pPr>
        <w:pStyle w:val="Nagwek2"/>
        <w:numPr>
          <w:ilvl w:val="1"/>
          <w:numId w:val="59"/>
        </w:numPr>
        <w:spacing w:before="400"/>
        <w:ind w:left="426" w:hanging="426"/>
      </w:pPr>
      <w:bookmarkStart w:id="12" w:name="_Toc499582759"/>
      <w:bookmarkStart w:id="13" w:name="_Toc511716303"/>
      <w:r w:rsidRPr="00AE35C1">
        <w:lastRenderedPageBreak/>
        <w:t xml:space="preserve">SFERA </w:t>
      </w:r>
      <w:bookmarkEnd w:id="11"/>
      <w:bookmarkEnd w:id="12"/>
      <w:r w:rsidR="001251C7" w:rsidRPr="00AE35C1">
        <w:t>PRZYRODNICZO-KULTUROWA</w:t>
      </w:r>
      <w:bookmarkEnd w:id="13"/>
    </w:p>
    <w:p w:rsidR="000C6BE4" w:rsidRPr="00AE35C1" w:rsidRDefault="000C6BE4" w:rsidP="00D41A4A">
      <w:pPr>
        <w:pStyle w:val="Nagwek2"/>
        <w:sectPr w:rsidR="000C6BE4" w:rsidRPr="00AE35C1" w:rsidSect="00E73C96">
          <w:type w:val="continuous"/>
          <w:pgSz w:w="11906" w:h="16838"/>
          <w:pgMar w:top="1571" w:right="1276" w:bottom="1134" w:left="1418" w:header="709" w:footer="709" w:gutter="0"/>
          <w:cols w:space="454"/>
          <w:docGrid w:linePitch="360"/>
        </w:sectPr>
      </w:pPr>
      <w:bookmarkStart w:id="14" w:name="_Toc464214669"/>
    </w:p>
    <w:p w:rsidR="000C6BE4" w:rsidRPr="00AE35C1" w:rsidRDefault="000C6BE4" w:rsidP="00814A82">
      <w:pPr>
        <w:pStyle w:val="Nagwek3"/>
      </w:pPr>
      <w:bookmarkStart w:id="15" w:name="_Toc499582760"/>
      <w:bookmarkStart w:id="16" w:name="_Toc511716304"/>
      <w:bookmarkEnd w:id="14"/>
      <w:r w:rsidRPr="00AE35C1">
        <w:lastRenderedPageBreak/>
        <w:t>ŚRODOWISKO PRZYRODNICZE</w:t>
      </w:r>
      <w:bookmarkEnd w:id="15"/>
      <w:bookmarkEnd w:id="16"/>
    </w:p>
    <w:p w:rsidR="003E2BC8" w:rsidRPr="00AE35C1" w:rsidRDefault="000C6BE4" w:rsidP="005F49A2">
      <w:pPr>
        <w:pStyle w:val="TEKST"/>
        <w:spacing w:before="60" w:after="0"/>
        <w:rPr>
          <w:sz w:val="19"/>
          <w:szCs w:val="19"/>
        </w:rPr>
      </w:pPr>
      <w:r w:rsidRPr="00AE35C1">
        <w:rPr>
          <w:sz w:val="19"/>
          <w:szCs w:val="19"/>
        </w:rPr>
        <w:t xml:space="preserve">Województwo dolnośląskie należy do najbardziej zróżnicowanych pod względem przyrodniczym i krajobrazowym regionów Polski. </w:t>
      </w:r>
      <w:r w:rsidRPr="00AE35C1">
        <w:rPr>
          <w:b/>
          <w:sz w:val="19"/>
          <w:szCs w:val="19"/>
        </w:rPr>
        <w:t>Obszary chronione</w:t>
      </w:r>
      <w:r w:rsidRPr="00AE35C1">
        <w:rPr>
          <w:sz w:val="19"/>
          <w:szCs w:val="19"/>
        </w:rPr>
        <w:t xml:space="preserve"> obejmują tu: 2 parki narodowe, 67 rezerwatów przyrody, 101 obszarów sieci NATURA 2000, 12 parków krajobrazowych, 18 obszarów chronionego krajobrazu, 188 użytków ekologicznych, 16 zespołów przyrodniczo-krajobrazowych. </w:t>
      </w:r>
      <w:r w:rsidR="00EB659A" w:rsidRPr="00AE35C1">
        <w:rPr>
          <w:sz w:val="19"/>
          <w:szCs w:val="19"/>
        </w:rPr>
        <w:t xml:space="preserve">Ogółem formy ochrony przyrody zajmują obszar 371 513,51 ha, tj. 18,6% ogólnej powierzchni województwa i jest to jeden z najniższych wskaźników w Polsce. </w:t>
      </w:r>
      <w:r w:rsidR="003E2BC8" w:rsidRPr="00AE35C1">
        <w:rPr>
          <w:sz w:val="19"/>
          <w:szCs w:val="19"/>
        </w:rPr>
        <w:t>Z</w:t>
      </w:r>
      <w:r w:rsidR="00EB659A" w:rsidRPr="00AE35C1">
        <w:rPr>
          <w:sz w:val="19"/>
          <w:szCs w:val="19"/>
        </w:rPr>
        <w:t xml:space="preserve">różnicowanie wewnątrzregionalne ich rozmieszczenia wskazuje </w:t>
      </w:r>
      <w:r w:rsidR="003E2BC8" w:rsidRPr="00AE35C1">
        <w:rPr>
          <w:sz w:val="19"/>
          <w:szCs w:val="19"/>
        </w:rPr>
        <w:t xml:space="preserve">jednak </w:t>
      </w:r>
      <w:r w:rsidR="00EB659A" w:rsidRPr="00AE35C1">
        <w:rPr>
          <w:sz w:val="19"/>
          <w:szCs w:val="19"/>
        </w:rPr>
        <w:t>na subregiony o bardzo wysokim wskaźniku pokrycia obszarami chronionymi (np. Sudety i Przedgórze sudeckie) oraz subregiony o bardzo niskim wskaźniku (centralna część regionu o rolniczym charakterze). W </w:t>
      </w:r>
      <w:r w:rsidRPr="00AE35C1">
        <w:rPr>
          <w:sz w:val="19"/>
          <w:szCs w:val="19"/>
        </w:rPr>
        <w:t xml:space="preserve">Polsce lądowe i morskie obszary chronione stanowią </w:t>
      </w:r>
      <w:r w:rsidR="003E2BC8" w:rsidRPr="00AE35C1">
        <w:rPr>
          <w:sz w:val="19"/>
          <w:szCs w:val="19"/>
        </w:rPr>
        <w:t xml:space="preserve">średnio </w:t>
      </w:r>
      <w:r w:rsidRPr="00AE35C1">
        <w:rPr>
          <w:sz w:val="19"/>
          <w:szCs w:val="19"/>
        </w:rPr>
        <w:t xml:space="preserve">17,5% powierzchni, przy średniej dla krajów Unii Europejskiej równej 11,9 %. </w:t>
      </w:r>
    </w:p>
    <w:p w:rsidR="000C6BE4" w:rsidRPr="00AE35C1" w:rsidRDefault="000C6BE4" w:rsidP="008E034C">
      <w:pPr>
        <w:pStyle w:val="TEKST"/>
        <w:spacing w:before="120" w:after="0"/>
        <w:rPr>
          <w:sz w:val="19"/>
          <w:szCs w:val="19"/>
        </w:rPr>
      </w:pPr>
      <w:r w:rsidRPr="00AE35C1">
        <w:rPr>
          <w:sz w:val="19"/>
          <w:szCs w:val="19"/>
        </w:rPr>
        <w:lastRenderedPageBreak/>
        <w:t xml:space="preserve">Powierzchnia </w:t>
      </w:r>
      <w:r w:rsidRPr="00AE35C1">
        <w:rPr>
          <w:b/>
          <w:sz w:val="19"/>
          <w:szCs w:val="19"/>
        </w:rPr>
        <w:t>lasów</w:t>
      </w:r>
      <w:r w:rsidRPr="00AE35C1">
        <w:rPr>
          <w:sz w:val="19"/>
          <w:szCs w:val="19"/>
        </w:rPr>
        <w:t xml:space="preserve"> w 2016 roku wynosiła 594 968,12 ha, co stanowiło 29,5% powierzchni ogólnej województwa (9. miejsce w kraju). </w:t>
      </w:r>
    </w:p>
    <w:p w:rsidR="000C6BE4" w:rsidRPr="00AE35C1" w:rsidRDefault="000C6BE4" w:rsidP="008E034C">
      <w:pPr>
        <w:pStyle w:val="TEKST"/>
        <w:spacing w:before="120" w:after="120"/>
        <w:rPr>
          <w:sz w:val="19"/>
          <w:szCs w:val="19"/>
        </w:rPr>
      </w:pPr>
      <w:r w:rsidRPr="00AE35C1">
        <w:rPr>
          <w:b/>
          <w:sz w:val="19"/>
          <w:szCs w:val="19"/>
        </w:rPr>
        <w:t>Gleby</w:t>
      </w:r>
      <w:r w:rsidRPr="00AE35C1">
        <w:rPr>
          <w:sz w:val="19"/>
          <w:szCs w:val="19"/>
        </w:rPr>
        <w:t xml:space="preserve"> regionu wykazują znaczne zróżnicowanie typologiczne. Pod względem klas bonitacyjnych, wśród gruntów ornych dominują klasy III (37%) i IV (35,9%). W latach 2010-2016 z użytkowania rolnego i leśnego wyłączono ogółem 1 828 ha gruntów rolnych i leśnych, głównie pod zabudowę mieszkaniową. W województwie sukcesywnie rośnie powierzchnia gruntów zdegradowanych i zdewastowanych wymagających rekultywacji – w 2016 roku wynosiła ona 8 052 ha.</w:t>
      </w:r>
    </w:p>
    <w:p w:rsidR="004964B3" w:rsidRDefault="000C6BE4" w:rsidP="004964B3">
      <w:pPr>
        <w:pStyle w:val="TEKST"/>
        <w:spacing w:after="120"/>
        <w:rPr>
          <w:sz w:val="19"/>
          <w:szCs w:val="19"/>
        </w:rPr>
      </w:pPr>
      <w:r w:rsidRPr="00AE35C1">
        <w:rPr>
          <w:b/>
          <w:sz w:val="19"/>
          <w:szCs w:val="19"/>
        </w:rPr>
        <w:t xml:space="preserve">System wodny </w:t>
      </w:r>
      <w:r w:rsidRPr="00AE35C1">
        <w:rPr>
          <w:sz w:val="19"/>
          <w:szCs w:val="19"/>
        </w:rPr>
        <w:t xml:space="preserve">Dolnego Śląska składa się z rzek o charakterze nizinnym oraz górskim z główną osią hydrograficzną – Odrą. Ponadto tworzy go 12 dużych wielofunkcyjnych zbiorników retencyjnych, stawy (ponad 1 700 obiektów) i zbiorniki małej retencji (około 200 zbiorników o powierzchni zalewu ponad 1 ha i wielu mniejszych). Łącznie pod wodami znajduje się około </w:t>
      </w:r>
      <w:r w:rsidRPr="00AE35C1">
        <w:rPr>
          <w:sz w:val="19"/>
          <w:szCs w:val="19"/>
        </w:rPr>
        <w:lastRenderedPageBreak/>
        <w:t xml:space="preserve">32 605 ha, co stanowi 1,63% obszaru regionu. Województwo dolnośląskie należy do obszarów o stosunkowo dużym </w:t>
      </w:r>
      <w:r w:rsidRPr="00AE35C1">
        <w:rPr>
          <w:b/>
          <w:sz w:val="19"/>
          <w:szCs w:val="19"/>
        </w:rPr>
        <w:t>zagrożeniu powodziowym</w:t>
      </w:r>
      <w:r w:rsidRPr="00AE35C1">
        <w:rPr>
          <w:sz w:val="19"/>
          <w:szCs w:val="19"/>
        </w:rPr>
        <w:t xml:space="preserve">, którego najgroźniejszy przebieg występuje w kilku rejonach zlewni Odry, tj. w dorzeczach: Nysy Kłodzkiej, Bystrzycy, Kwisy, Ślęzy i Nysy Szalonej. </w:t>
      </w:r>
      <w:r w:rsidR="004964B3" w:rsidRPr="008F49C7">
        <w:rPr>
          <w:sz w:val="19"/>
          <w:szCs w:val="19"/>
        </w:rPr>
        <w:t>Aktualna ocena ryzyka powodziowego</w:t>
      </w:r>
      <w:r w:rsidR="004964B3">
        <w:rPr>
          <w:sz w:val="19"/>
          <w:szCs w:val="19"/>
        </w:rPr>
        <w:t xml:space="preserve"> </w:t>
      </w:r>
      <w:r w:rsidR="004964B3" w:rsidRPr="008F49C7">
        <w:rPr>
          <w:sz w:val="19"/>
          <w:szCs w:val="19"/>
        </w:rPr>
        <w:t>została przedstawiona na mapach zagrożenia powodziowego (MZP)</w:t>
      </w:r>
      <w:r w:rsidR="004964B3">
        <w:rPr>
          <w:sz w:val="19"/>
          <w:szCs w:val="19"/>
        </w:rPr>
        <w:t>, wskazując obszary zagrożenia powodziowego (o prawdopodobieństwach wystąpienia: 0,2%, 1%, 10%)</w:t>
      </w:r>
      <w:r w:rsidR="004964B3" w:rsidRPr="005F2FC8">
        <w:rPr>
          <w:sz w:val="19"/>
          <w:szCs w:val="19"/>
        </w:rPr>
        <w:t xml:space="preserve"> o</w:t>
      </w:r>
      <w:r w:rsidR="004964B3" w:rsidRPr="008F49C7">
        <w:rPr>
          <w:sz w:val="19"/>
          <w:szCs w:val="19"/>
        </w:rPr>
        <w:t>bejmują</w:t>
      </w:r>
      <w:r w:rsidR="004964B3">
        <w:rPr>
          <w:sz w:val="19"/>
          <w:szCs w:val="19"/>
        </w:rPr>
        <w:t>ce</w:t>
      </w:r>
      <w:r w:rsidR="004964B3" w:rsidRPr="008F49C7">
        <w:rPr>
          <w:sz w:val="19"/>
          <w:szCs w:val="19"/>
        </w:rPr>
        <w:t xml:space="preserve"> następujące rzeki województwa dolnośląskiego: Odra, Barycz, Orla, Widawa, Oława, Ślęza, Mała Ślęza, Nysa Kłodzka, Biała Lądecka, Bystrzyca Dusznicka, Ścinawka, Bystrzyca, Czarna Woda, Strzegomka, Nysa Szalona, Kaczawa, Skora, Czarna Woda, Bóbr, Kwisa, Szprotawa, Nysa Łużycka, Czarny Potok, Lesk, Łomnica, Jedlica, Kamienna, Wrzosówka</w:t>
      </w:r>
      <w:r w:rsidR="004964B3">
        <w:rPr>
          <w:sz w:val="19"/>
          <w:szCs w:val="19"/>
        </w:rPr>
        <w:t xml:space="preserve">. </w:t>
      </w:r>
    </w:p>
    <w:p w:rsidR="009F7937" w:rsidRPr="00D113CA" w:rsidRDefault="00DF7C1C" w:rsidP="0082157C">
      <w:pPr>
        <w:pStyle w:val="MAPA"/>
      </w:pPr>
      <w:r w:rsidRPr="00D113CA">
        <w:t>MAPA 2. ZAGROŻENIE POWODZIOWE I RETENCJA ZBIORNIKOWA W WOJEWÓDZTWIE DOLNOŚLĄSKIM</w:t>
      </w:r>
    </w:p>
    <w:p w:rsidR="004964B3" w:rsidRDefault="009F7937" w:rsidP="0082157C">
      <w:pPr>
        <w:pStyle w:val="TEKST"/>
        <w:spacing w:after="60"/>
        <w:rPr>
          <w:sz w:val="19"/>
          <w:szCs w:val="19"/>
        </w:rPr>
      </w:pPr>
      <w:r>
        <w:rPr>
          <w:noProof/>
          <w:szCs w:val="22"/>
          <w:lang w:eastAsia="pl-PL"/>
        </w:rPr>
        <w:drawing>
          <wp:inline distT="0" distB="0" distL="0" distR="0">
            <wp:extent cx="2780665" cy="3332277"/>
            <wp:effectExtent l="0" t="0" r="635" b="1905"/>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665" cy="3332277"/>
                    </a:xfrm>
                    <a:prstGeom prst="rect">
                      <a:avLst/>
                    </a:prstGeom>
                    <a:noFill/>
                    <a:ln>
                      <a:noFill/>
                    </a:ln>
                  </pic:spPr>
                </pic:pic>
              </a:graphicData>
            </a:graphic>
          </wp:inline>
        </w:drawing>
      </w:r>
    </w:p>
    <w:p w:rsidR="004964B3" w:rsidRPr="00E7427F" w:rsidRDefault="004964B3" w:rsidP="004964B3">
      <w:pPr>
        <w:tabs>
          <w:tab w:val="left" w:pos="7088"/>
        </w:tabs>
        <w:spacing w:line="240" w:lineRule="auto"/>
        <w:textboxTightWrap w:val="allLines"/>
        <w:rPr>
          <w:i/>
          <w:color w:val="000000" w:themeColor="text1"/>
          <w:sz w:val="16"/>
        </w:rPr>
      </w:pPr>
      <w:r w:rsidRPr="00E7427F">
        <w:rPr>
          <w:i/>
          <w:color w:val="000000" w:themeColor="text1"/>
          <w:sz w:val="16"/>
        </w:rPr>
        <w:t>Źródło: opracowanie własne IRT na podstawie map zagrożenia powodziowego i map ryzyka powodziowego, 2013.</w:t>
      </w:r>
    </w:p>
    <w:p w:rsidR="000C6BE4" w:rsidRDefault="000C6BE4" w:rsidP="008E034C">
      <w:pPr>
        <w:pStyle w:val="TEKST"/>
        <w:spacing w:after="120"/>
        <w:rPr>
          <w:sz w:val="19"/>
          <w:szCs w:val="19"/>
        </w:rPr>
      </w:pPr>
      <w:r w:rsidRPr="00AE35C1">
        <w:rPr>
          <w:sz w:val="19"/>
          <w:szCs w:val="19"/>
        </w:rPr>
        <w:t>Stan wód w 2015 roku, badany w odniesieniu do jednolitych części wód powierzchniow</w:t>
      </w:r>
      <w:r w:rsidR="006B61AB" w:rsidRPr="00AE35C1">
        <w:rPr>
          <w:sz w:val="19"/>
          <w:szCs w:val="19"/>
        </w:rPr>
        <w:t>ych (JCWP) oceniono jako zły w  </w:t>
      </w:r>
      <w:r w:rsidRPr="00AE35C1">
        <w:rPr>
          <w:sz w:val="19"/>
          <w:szCs w:val="19"/>
        </w:rPr>
        <w:t>125 JCWP i dobry wyłącznie w 4 JCWP. Dla kolejnych 30 JCWP nie było możliwe określenie stanu wód ze względu na brak oceny stanu chemicznego, jednak stwierdzono co najmniej dobry stan/potencjał ekologiczny i spełn</w:t>
      </w:r>
      <w:r w:rsidR="006B61AB" w:rsidRPr="00AE35C1">
        <w:rPr>
          <w:sz w:val="19"/>
          <w:szCs w:val="19"/>
        </w:rPr>
        <w:t>ienie wymagań ustanowionych dla </w:t>
      </w:r>
      <w:r w:rsidRPr="00AE35C1">
        <w:rPr>
          <w:sz w:val="19"/>
          <w:szCs w:val="19"/>
        </w:rPr>
        <w:t xml:space="preserve">obszaru chronionego. </w:t>
      </w:r>
    </w:p>
    <w:p w:rsidR="004964B3" w:rsidRDefault="004964B3" w:rsidP="004964B3">
      <w:pPr>
        <w:pStyle w:val="TEKST"/>
        <w:spacing w:after="120"/>
        <w:rPr>
          <w:sz w:val="19"/>
          <w:szCs w:val="19"/>
        </w:rPr>
      </w:pPr>
      <w:r w:rsidRPr="008F49C7">
        <w:rPr>
          <w:sz w:val="19"/>
          <w:szCs w:val="19"/>
        </w:rPr>
        <w:lastRenderedPageBreak/>
        <w:t>Obszar województwa dolnośląskiego klasyfikuje się jako obszar o znacznym bądź wysokim stopniu zagrożenia wystąpieniem suszy</w:t>
      </w:r>
      <w:r w:rsidRPr="008F49C7">
        <w:rPr>
          <w:sz w:val="19"/>
          <w:szCs w:val="19"/>
          <w:vertAlign w:val="superscript"/>
        </w:rPr>
        <w:footnoteReference w:id="1"/>
      </w:r>
      <w:r w:rsidRPr="008F49C7">
        <w:rPr>
          <w:sz w:val="19"/>
          <w:szCs w:val="19"/>
        </w:rPr>
        <w:t xml:space="preserve">, wymagającym podjęcia pilnych działań minimalizujących niekorzystny wpływ tego zjawiska na społeczeństwo, gospodarkę oraz środowisko przyrodnicze. </w:t>
      </w:r>
      <w:r w:rsidRPr="00CA54F3">
        <w:rPr>
          <w:sz w:val="19"/>
          <w:szCs w:val="19"/>
        </w:rPr>
        <w:t>D</w:t>
      </w:r>
      <w:r w:rsidRPr="008F49C7">
        <w:rPr>
          <w:sz w:val="19"/>
          <w:szCs w:val="19"/>
        </w:rPr>
        <w:t xml:space="preserve">o gmin wysoko zagrożonych wystąpieniem suszy (80% lub więcej powierzchni gminy jest zagrożone wystąpieniem suszy) należą </w:t>
      </w:r>
      <w:r>
        <w:rPr>
          <w:sz w:val="19"/>
          <w:szCs w:val="19"/>
        </w:rPr>
        <w:t>g</w:t>
      </w:r>
      <w:r w:rsidRPr="008F49C7">
        <w:rPr>
          <w:sz w:val="19"/>
          <w:szCs w:val="19"/>
        </w:rPr>
        <w:t>m. miejska Chojnów (100% powierzchni), gm. Prusice (90% powierzchni), gm. Brzeg Dolny (86% powierzchni), gm. Góra (83% powierzchni).</w:t>
      </w:r>
    </w:p>
    <w:p w:rsidR="0082157C" w:rsidRDefault="00DF7C1C" w:rsidP="0082157C">
      <w:pPr>
        <w:pStyle w:val="MAPA"/>
        <w:ind w:left="567" w:hanging="567"/>
        <w:rPr>
          <w:rStyle w:val="MAPAZnak"/>
        </w:rPr>
      </w:pPr>
      <w:r w:rsidRPr="0082157C">
        <w:rPr>
          <w:rStyle w:val="MAPAZnak"/>
        </w:rPr>
        <w:t>MAPA 3. ZAGROŻENIE WYSTĘPOWANIA ZJAWISKA SUSZY W GMINACH WOJEWÓDZTWA DOLNOŚLĄSKIEGO</w:t>
      </w:r>
    </w:p>
    <w:p w:rsidR="009F7937" w:rsidRDefault="002C5E02" w:rsidP="0082157C">
      <w:pPr>
        <w:rPr>
          <w:sz w:val="19"/>
          <w:szCs w:val="19"/>
        </w:rPr>
      </w:pPr>
      <w:r w:rsidRPr="002C5E02">
        <w:rPr>
          <w:rFonts w:ascii="Times New Roman" w:eastAsia="Times New Roman" w:hAnsi="Times New Roman"/>
          <w:snapToGrid w:val="0"/>
          <w:w w:val="0"/>
          <w:sz w:val="0"/>
          <w:szCs w:val="0"/>
          <w:u w:color="000000"/>
          <w:bdr w:val="none" w:sz="0" w:space="0" w:color="000000"/>
          <w:shd w:val="clear" w:color="000000" w:fill="000000"/>
        </w:rPr>
        <w:t xml:space="preserve"> </w:t>
      </w:r>
      <w:r w:rsidR="009F7937" w:rsidRPr="0082157C">
        <w:rPr>
          <w:noProof/>
          <w:lang w:eastAsia="pl-PL"/>
        </w:rPr>
        <w:drawing>
          <wp:inline distT="0" distB="0" distL="0" distR="0">
            <wp:extent cx="2780665" cy="2513778"/>
            <wp:effectExtent l="0" t="0" r="635" b="1270"/>
            <wp:docPr id="97" name="Obraz 97" descr="P:\ PROJEKTY 2017\09 SRWD 2030\04_Grafika\jpg\bezpieczenstwo_susza_gm_16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 PROJEKTY 2017\09 SRWD 2030\04_Grafika\jpg\bezpieczenstwo_susza_gm_160418.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665" cy="2513778"/>
                    </a:xfrm>
                    <a:prstGeom prst="rect">
                      <a:avLst/>
                    </a:prstGeom>
                    <a:noFill/>
                    <a:ln>
                      <a:noFill/>
                    </a:ln>
                  </pic:spPr>
                </pic:pic>
              </a:graphicData>
            </a:graphic>
          </wp:inline>
        </w:drawing>
      </w:r>
    </w:p>
    <w:p w:rsidR="004964B3" w:rsidRPr="00E7427F" w:rsidRDefault="004964B3" w:rsidP="004964B3">
      <w:pPr>
        <w:tabs>
          <w:tab w:val="left" w:pos="7088"/>
        </w:tabs>
        <w:spacing w:line="240" w:lineRule="auto"/>
        <w:textboxTightWrap w:val="allLines"/>
        <w:rPr>
          <w:color w:val="000000" w:themeColor="text1"/>
          <w:sz w:val="16"/>
        </w:rPr>
      </w:pPr>
      <w:r w:rsidRPr="00E7427F">
        <w:rPr>
          <w:i/>
          <w:color w:val="000000" w:themeColor="text1"/>
          <w:sz w:val="16"/>
        </w:rPr>
        <w:t xml:space="preserve">Źródło: opracowanie własne IRT na podstawie Planu przeciwdziałania skutkom suszy w regionach wodnych Środkowej Odry, Izery, </w:t>
      </w:r>
      <w:proofErr w:type="spellStart"/>
      <w:r w:rsidRPr="00E7427F">
        <w:rPr>
          <w:i/>
          <w:color w:val="000000" w:themeColor="text1"/>
          <w:sz w:val="16"/>
        </w:rPr>
        <w:t>Metuje</w:t>
      </w:r>
      <w:proofErr w:type="spellEnd"/>
      <w:r w:rsidRPr="00E7427F">
        <w:rPr>
          <w:i/>
          <w:color w:val="000000" w:themeColor="text1"/>
          <w:sz w:val="16"/>
        </w:rPr>
        <w:t xml:space="preserve">, Łaby i Ostrożnicy, Orlicy i Morawy, </w:t>
      </w:r>
      <w:r w:rsidRPr="00E7427F">
        <w:rPr>
          <w:color w:val="000000" w:themeColor="text1"/>
          <w:sz w:val="16"/>
        </w:rPr>
        <w:t>sierpień 2017.</w:t>
      </w:r>
    </w:p>
    <w:p w:rsidR="000C6BE4" w:rsidRPr="00AE35C1" w:rsidRDefault="000C6BE4" w:rsidP="008E034C">
      <w:pPr>
        <w:pStyle w:val="TEKST"/>
        <w:spacing w:after="120"/>
        <w:rPr>
          <w:sz w:val="19"/>
          <w:szCs w:val="19"/>
        </w:rPr>
      </w:pPr>
      <w:r w:rsidRPr="00AE35C1">
        <w:rPr>
          <w:sz w:val="19"/>
          <w:szCs w:val="19"/>
        </w:rPr>
        <w:t xml:space="preserve">Według stanu na koniec 2016 roku na terenie województwa udokumentowano 1 098 </w:t>
      </w:r>
      <w:r w:rsidRPr="00AE35C1">
        <w:rPr>
          <w:b/>
          <w:sz w:val="19"/>
          <w:szCs w:val="19"/>
        </w:rPr>
        <w:t>złóż kopalin</w:t>
      </w:r>
      <w:r w:rsidRPr="00AE35C1">
        <w:rPr>
          <w:sz w:val="19"/>
          <w:szCs w:val="19"/>
        </w:rPr>
        <w:t>, w tym 49 złóż surowców energetycznych, 23 złoża surowców metalicznych, 256 zł</w:t>
      </w:r>
      <w:r w:rsidR="007109FE" w:rsidRPr="00AE35C1">
        <w:rPr>
          <w:sz w:val="19"/>
          <w:szCs w:val="19"/>
        </w:rPr>
        <w:t>óż</w:t>
      </w:r>
      <w:r w:rsidRPr="00AE35C1">
        <w:rPr>
          <w:sz w:val="19"/>
          <w:szCs w:val="19"/>
        </w:rPr>
        <w:t xml:space="preserve"> kamieni łamanych i </w:t>
      </w:r>
      <w:proofErr w:type="spellStart"/>
      <w:r w:rsidRPr="00AE35C1">
        <w:rPr>
          <w:sz w:val="19"/>
          <w:szCs w:val="19"/>
        </w:rPr>
        <w:t>blocznych</w:t>
      </w:r>
      <w:proofErr w:type="spellEnd"/>
      <w:r w:rsidRPr="00AE35C1">
        <w:rPr>
          <w:sz w:val="19"/>
          <w:szCs w:val="19"/>
        </w:rPr>
        <w:t>, 465 zł</w:t>
      </w:r>
      <w:r w:rsidR="00A31391" w:rsidRPr="00AE35C1">
        <w:rPr>
          <w:sz w:val="19"/>
          <w:szCs w:val="19"/>
        </w:rPr>
        <w:t>óż</w:t>
      </w:r>
      <w:r w:rsidRPr="00AE35C1">
        <w:rPr>
          <w:sz w:val="19"/>
          <w:szCs w:val="19"/>
        </w:rPr>
        <w:t xml:space="preserve"> piasków i żwirów oraz 354 innych surowców. Do najważniejszych surowców o znaczeniu ogólnokrajowym należą: rudy miedzi i towarzyszące im pierwiastki (m.in. srebro, z</w:t>
      </w:r>
      <w:r w:rsidR="00CB7AA3" w:rsidRPr="00AE35C1">
        <w:rPr>
          <w:sz w:val="19"/>
          <w:szCs w:val="19"/>
        </w:rPr>
        <w:t>łoto, ołów, nikiel, ren, selen) oraz sól kamienna,</w:t>
      </w:r>
      <w:r w:rsidRPr="00AE35C1">
        <w:rPr>
          <w:sz w:val="19"/>
          <w:szCs w:val="19"/>
        </w:rPr>
        <w:t xml:space="preserve"> węgiel brunatny oraz kamienie łamane i </w:t>
      </w:r>
      <w:proofErr w:type="spellStart"/>
      <w:r w:rsidRPr="00AE35C1">
        <w:rPr>
          <w:sz w:val="19"/>
          <w:szCs w:val="19"/>
        </w:rPr>
        <w:t>bloczne</w:t>
      </w:r>
      <w:proofErr w:type="spellEnd"/>
      <w:r w:rsidRPr="00AE35C1">
        <w:rPr>
          <w:sz w:val="19"/>
          <w:szCs w:val="19"/>
        </w:rPr>
        <w:t>, a także inne surowce unikalne w skali kraju (kwarc żyłowy, magnezyty, gliny ce</w:t>
      </w:r>
      <w:r w:rsidR="006B61AB" w:rsidRPr="00AE35C1">
        <w:rPr>
          <w:sz w:val="19"/>
          <w:szCs w:val="19"/>
        </w:rPr>
        <w:t>ramiczne biało wypalające się i </w:t>
      </w:r>
      <w:r w:rsidRPr="00AE35C1">
        <w:rPr>
          <w:sz w:val="19"/>
          <w:szCs w:val="19"/>
        </w:rPr>
        <w:t xml:space="preserve">kaoliny). </w:t>
      </w:r>
      <w:r w:rsidR="006B61AB" w:rsidRPr="00AE35C1">
        <w:rPr>
          <w:sz w:val="19"/>
          <w:szCs w:val="19"/>
        </w:rPr>
        <w:t>Ważnym bogactwem województwa są </w:t>
      </w:r>
      <w:r w:rsidRPr="00AE35C1">
        <w:rPr>
          <w:sz w:val="19"/>
          <w:szCs w:val="19"/>
        </w:rPr>
        <w:t xml:space="preserve">również </w:t>
      </w:r>
      <w:r w:rsidR="000666B0" w:rsidRPr="00AE35C1">
        <w:rPr>
          <w:b/>
          <w:sz w:val="19"/>
          <w:szCs w:val="19"/>
        </w:rPr>
        <w:t>wody lecznicze i </w:t>
      </w:r>
      <w:r w:rsidRPr="00AE35C1">
        <w:rPr>
          <w:b/>
          <w:sz w:val="19"/>
          <w:szCs w:val="19"/>
        </w:rPr>
        <w:t>termalne</w:t>
      </w:r>
      <w:r w:rsidRPr="00AE35C1">
        <w:rPr>
          <w:sz w:val="19"/>
          <w:szCs w:val="19"/>
        </w:rPr>
        <w:t xml:space="preserve">. W regionie udokumentowano 19 ze 132 krajowych złóż wód podziemnych zaliczonych do kopalin (wód </w:t>
      </w:r>
      <w:r w:rsidRPr="00AE35C1">
        <w:rPr>
          <w:sz w:val="19"/>
          <w:szCs w:val="19"/>
        </w:rPr>
        <w:lastRenderedPageBreak/>
        <w:t>leczniczych i wód termalnych), z których 13 objętych jest koncesją na eksploatację.</w:t>
      </w:r>
    </w:p>
    <w:p w:rsidR="000C6BE4" w:rsidRPr="00AE35C1" w:rsidRDefault="000C6BE4" w:rsidP="005F49A2">
      <w:pPr>
        <w:pStyle w:val="TEKST"/>
        <w:rPr>
          <w:sz w:val="19"/>
          <w:szCs w:val="19"/>
        </w:rPr>
      </w:pPr>
      <w:r w:rsidRPr="00AE35C1">
        <w:rPr>
          <w:sz w:val="19"/>
          <w:szCs w:val="19"/>
        </w:rPr>
        <w:t>Na D</w:t>
      </w:r>
      <w:r w:rsidR="00C706E9" w:rsidRPr="00AE35C1">
        <w:rPr>
          <w:sz w:val="19"/>
          <w:szCs w:val="19"/>
        </w:rPr>
        <w:t>olnym Śląsku notuje się wysokie</w:t>
      </w:r>
      <w:r w:rsidRPr="00AE35C1">
        <w:rPr>
          <w:sz w:val="19"/>
          <w:szCs w:val="19"/>
        </w:rPr>
        <w:t xml:space="preserve"> przekroczenia norm </w:t>
      </w:r>
      <w:r w:rsidRPr="00AE35C1">
        <w:rPr>
          <w:b/>
          <w:sz w:val="19"/>
          <w:szCs w:val="19"/>
        </w:rPr>
        <w:t>jakości powietrza</w:t>
      </w:r>
      <w:r w:rsidRPr="00AE35C1">
        <w:rPr>
          <w:sz w:val="19"/>
          <w:szCs w:val="19"/>
        </w:rPr>
        <w:t>. Ich głównym źródłem jest</w:t>
      </w:r>
      <w:r w:rsidR="00C706E9" w:rsidRPr="00AE35C1">
        <w:rPr>
          <w:sz w:val="19"/>
          <w:szCs w:val="19"/>
        </w:rPr>
        <w:t xml:space="preserve"> emisja z indywidualnego ogrzewania budynków</w:t>
      </w:r>
      <w:r w:rsidR="006B61AB" w:rsidRPr="00AE35C1">
        <w:rPr>
          <w:sz w:val="19"/>
          <w:szCs w:val="19"/>
        </w:rPr>
        <w:t xml:space="preserve"> oraz z </w:t>
      </w:r>
      <w:r w:rsidR="00C706E9" w:rsidRPr="00AE35C1">
        <w:rPr>
          <w:sz w:val="19"/>
          <w:szCs w:val="19"/>
        </w:rPr>
        <w:t>obiektów sektora komunalno-bytowego, z transportu drogowego i terenów przemysłowych</w:t>
      </w:r>
      <w:r w:rsidRPr="00AE35C1">
        <w:rPr>
          <w:sz w:val="19"/>
          <w:szCs w:val="19"/>
        </w:rPr>
        <w:t xml:space="preserve">. Tak jak </w:t>
      </w:r>
      <w:r w:rsidRPr="00AE35C1">
        <w:rPr>
          <w:sz w:val="19"/>
          <w:szCs w:val="19"/>
        </w:rPr>
        <w:lastRenderedPageBreak/>
        <w:t xml:space="preserve">w ubiegłych latach, największym problemem dla regionu są zanieczyszczenia pyłem zawieszonym PM10, PM2,5 oraz </w:t>
      </w:r>
      <w:proofErr w:type="spellStart"/>
      <w:r w:rsidRPr="00AE35C1">
        <w:rPr>
          <w:sz w:val="19"/>
          <w:szCs w:val="19"/>
        </w:rPr>
        <w:t>ben</w:t>
      </w:r>
      <w:r w:rsidR="00CF54F8" w:rsidRPr="00AE35C1">
        <w:rPr>
          <w:sz w:val="19"/>
          <w:szCs w:val="19"/>
        </w:rPr>
        <w:t>z</w:t>
      </w:r>
      <w:r w:rsidR="00F10BAB" w:rsidRPr="00AE35C1">
        <w:rPr>
          <w:sz w:val="19"/>
          <w:szCs w:val="19"/>
        </w:rPr>
        <w:t>o</w:t>
      </w:r>
      <w:proofErr w:type="spellEnd"/>
      <w:r w:rsidR="00F10BAB" w:rsidRPr="00AE35C1">
        <w:rPr>
          <w:sz w:val="19"/>
          <w:szCs w:val="19"/>
        </w:rPr>
        <w:t>(a)</w:t>
      </w:r>
      <w:proofErr w:type="spellStart"/>
      <w:r w:rsidR="00F10BAB" w:rsidRPr="00AE35C1">
        <w:rPr>
          <w:sz w:val="19"/>
          <w:szCs w:val="19"/>
        </w:rPr>
        <w:t>pirenem</w:t>
      </w:r>
      <w:proofErr w:type="spellEnd"/>
      <w:r w:rsidR="00F10BAB" w:rsidRPr="00AE35C1">
        <w:rPr>
          <w:sz w:val="19"/>
          <w:szCs w:val="19"/>
        </w:rPr>
        <w:t xml:space="preserve">. </w:t>
      </w:r>
      <w:r w:rsidR="00C706E9" w:rsidRPr="00AE35C1">
        <w:rPr>
          <w:sz w:val="19"/>
          <w:szCs w:val="19"/>
        </w:rPr>
        <w:t>Dodatkowo stwierdzono przekroczenia arsenu na obszarze Legnicko-Głogowskiego Okręgu Miedziowego</w:t>
      </w:r>
      <w:r w:rsidR="001038BC" w:rsidRPr="00AE35C1">
        <w:rPr>
          <w:sz w:val="19"/>
          <w:szCs w:val="19"/>
        </w:rPr>
        <w:t xml:space="preserve"> (LGOM)</w:t>
      </w:r>
      <w:r w:rsidR="00C706E9" w:rsidRPr="00AE35C1">
        <w:rPr>
          <w:sz w:val="19"/>
          <w:szCs w:val="19"/>
        </w:rPr>
        <w:t xml:space="preserve"> i dwutlenku azotu we Wrocławiu. </w:t>
      </w:r>
      <w:r w:rsidRPr="00AE35C1">
        <w:rPr>
          <w:sz w:val="19"/>
          <w:szCs w:val="19"/>
        </w:rPr>
        <w:t xml:space="preserve">W regionie wskazuje się także na postępującą degradację </w:t>
      </w:r>
      <w:r w:rsidRPr="00AE35C1">
        <w:rPr>
          <w:b/>
          <w:sz w:val="19"/>
          <w:szCs w:val="19"/>
        </w:rPr>
        <w:t>klimatu akustycznego</w:t>
      </w:r>
      <w:r w:rsidRPr="00AE35C1">
        <w:rPr>
          <w:sz w:val="19"/>
          <w:szCs w:val="19"/>
        </w:rPr>
        <w:t>, zwłaszcza wzdłuż ważniejszych tras komunikacyjnych.</w:t>
      </w:r>
    </w:p>
    <w:p w:rsidR="000C6BE4" w:rsidRPr="00AE35C1" w:rsidRDefault="000C6BE4" w:rsidP="005F49A2">
      <w:pPr>
        <w:pStyle w:val="TEKST"/>
        <w:rPr>
          <w:sz w:val="19"/>
          <w:szCs w:val="19"/>
        </w:rPr>
        <w:sectPr w:rsidR="000C6BE4" w:rsidRPr="00AE35C1" w:rsidSect="00E73C96">
          <w:type w:val="continuous"/>
          <w:pgSz w:w="11906" w:h="16838"/>
          <w:pgMar w:top="1276" w:right="1276" w:bottom="1417" w:left="1417" w:header="708" w:footer="419" w:gutter="0"/>
          <w:cols w:num="2" w:space="454"/>
          <w:docGrid w:linePitch="360"/>
        </w:sectPr>
      </w:pPr>
    </w:p>
    <w:p w:rsidR="000C6BE4" w:rsidRPr="00AE35C1" w:rsidRDefault="000C6BE4" w:rsidP="009916E0">
      <w:pPr>
        <w:pStyle w:val="MAPA"/>
        <w:spacing w:line="288" w:lineRule="auto"/>
        <w:jc w:val="both"/>
        <w:rPr>
          <w:rFonts w:ascii="Calibri" w:hAnsi="Calibri" w:cs="Calibri"/>
          <w:sz w:val="18"/>
          <w:szCs w:val="18"/>
        </w:rPr>
      </w:pPr>
      <w:bookmarkStart w:id="17" w:name="_Toc495922938"/>
      <w:r w:rsidRPr="00AE35C1">
        <w:rPr>
          <w:rFonts w:ascii="Calibri" w:hAnsi="Calibri" w:cs="Calibri"/>
          <w:sz w:val="18"/>
          <w:szCs w:val="18"/>
        </w:rPr>
        <w:lastRenderedPageBreak/>
        <w:t xml:space="preserve">MAPA </w:t>
      </w:r>
      <w:r w:rsidR="004964B3">
        <w:rPr>
          <w:rFonts w:ascii="Calibri" w:hAnsi="Calibri" w:cs="Calibri"/>
          <w:sz w:val="18"/>
          <w:szCs w:val="18"/>
        </w:rPr>
        <w:t>4</w:t>
      </w:r>
      <w:r w:rsidRPr="00AE35C1">
        <w:rPr>
          <w:rFonts w:ascii="Calibri" w:hAnsi="Calibri" w:cs="Calibri"/>
          <w:sz w:val="18"/>
          <w:szCs w:val="18"/>
        </w:rPr>
        <w:t>. Obszary Chronione na terenie województwa dolnośląskiego [2016]</w:t>
      </w:r>
      <w:bookmarkEnd w:id="17"/>
    </w:p>
    <w:p w:rsidR="000C6BE4" w:rsidRPr="00AE35C1" w:rsidRDefault="0055701D" w:rsidP="005F49A2">
      <w:pPr>
        <w:spacing w:after="0" w:line="288" w:lineRule="auto"/>
        <w:jc w:val="center"/>
      </w:pPr>
      <w:r>
        <w:rPr>
          <w:noProof/>
          <w:lang w:eastAsia="pl-PL"/>
        </w:rPr>
        <w:drawing>
          <wp:inline distT="0" distB="0" distL="0" distR="0">
            <wp:extent cx="3853521" cy="3600000"/>
            <wp:effectExtent l="0" t="0" r="0" b="635"/>
            <wp:docPr id="55" name="Obraz 5712" descr="P:\ PROJEKTY 2016\05 Raport z zagospodarowania przestrzennego\04_Grafika\jpg\2. Środowisko przyrodnicze\ochr_przyrody_m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12" descr="P:\ PROJEKTY 2016\05 Raport z zagospodarowania przestrzennego\04_Grafika\jpg\2. Środowisko przyrodnicze\ochr_przyrody_mk.jpg"/>
                    <pic:cNvPicPr>
                      <a:picLocks noChangeAspect="1" noChangeArrowheads="1"/>
                    </pic:cNvPicPr>
                  </pic:nvPicPr>
                  <pic:blipFill>
                    <a:blip r:embed="rId18" cstate="print"/>
                    <a:srcRect t="1825"/>
                    <a:stretch>
                      <a:fillRect/>
                    </a:stretch>
                  </pic:blipFill>
                  <pic:spPr bwMode="auto">
                    <a:xfrm>
                      <a:off x="0" y="0"/>
                      <a:ext cx="3853521" cy="3600000"/>
                    </a:xfrm>
                    <a:prstGeom prst="rect">
                      <a:avLst/>
                    </a:prstGeom>
                    <a:noFill/>
                    <a:ln w="9525">
                      <a:noFill/>
                      <a:miter lim="800000"/>
                      <a:headEnd/>
                      <a:tailEnd/>
                    </a:ln>
                  </pic:spPr>
                </pic:pic>
              </a:graphicData>
            </a:graphic>
          </wp:inline>
        </w:drawing>
      </w:r>
    </w:p>
    <w:p w:rsidR="000C6BE4" w:rsidRPr="00AE35C1" w:rsidRDefault="000C6BE4" w:rsidP="005F49A2">
      <w:pPr>
        <w:pStyle w:val="RDO"/>
        <w:spacing w:line="288" w:lineRule="auto"/>
        <w:rPr>
          <w:color w:val="000000"/>
        </w:rPr>
      </w:pPr>
      <w:r w:rsidRPr="00AE35C1">
        <w:rPr>
          <w:color w:val="000000"/>
        </w:rPr>
        <w:t>Źródło: opracowanie własne.</w:t>
      </w:r>
    </w:p>
    <w:p w:rsidR="000C6BE4" w:rsidRPr="00AE35C1" w:rsidRDefault="000C6BE4" w:rsidP="005F49A2">
      <w:pPr>
        <w:spacing w:after="0" w:line="288" w:lineRule="auto"/>
        <w:jc w:val="right"/>
        <w:rPr>
          <w:b/>
          <w:bCs/>
          <w:caps/>
          <w:color w:val="FFFFFF"/>
          <w:sz w:val="17"/>
          <w:szCs w:val="17"/>
        </w:rPr>
        <w:sectPr w:rsidR="000C6BE4" w:rsidRPr="00AE35C1" w:rsidSect="00E73C96">
          <w:headerReference w:type="default" r:id="rId19"/>
          <w:type w:val="continuous"/>
          <w:pgSz w:w="11906" w:h="16838"/>
          <w:pgMar w:top="1571" w:right="1276" w:bottom="1134" w:left="1418" w:header="709" w:footer="709" w:gutter="0"/>
          <w:cols w:space="454"/>
          <w:docGrid w:linePitch="360"/>
        </w:sectPr>
      </w:pPr>
    </w:p>
    <w:p w:rsidR="000C6BE4" w:rsidRPr="00AE35C1" w:rsidRDefault="000C6BE4" w:rsidP="005F49A2">
      <w:pPr>
        <w:spacing w:after="0" w:line="288" w:lineRule="auto"/>
        <w:rPr>
          <w:rFonts w:eastAsia="Times New Roman" w:cs="Arial"/>
          <w:color w:val="404040"/>
          <w:sz w:val="2"/>
          <w:szCs w:val="2"/>
        </w:rPr>
        <w:sectPr w:rsidR="000C6BE4" w:rsidRPr="00AE35C1" w:rsidSect="00E73C96">
          <w:headerReference w:type="default" r:id="rId20"/>
          <w:type w:val="continuous"/>
          <w:pgSz w:w="11906" w:h="16838"/>
          <w:pgMar w:top="1571" w:right="1276" w:bottom="1417" w:left="1417" w:header="708" w:footer="708" w:gutter="0"/>
          <w:cols w:num="2" w:space="454"/>
          <w:docGrid w:linePitch="360"/>
        </w:sectPr>
      </w:pPr>
    </w:p>
    <w:tbl>
      <w:tblPr>
        <w:tblW w:w="9356" w:type="dxa"/>
        <w:jc w:val="center"/>
        <w:tblBorders>
          <w:insideH w:val="single" w:sz="18" w:space="0" w:color="FFFFFF"/>
          <w:insideV w:val="single" w:sz="18" w:space="0" w:color="FFFFFF"/>
        </w:tblBorders>
        <w:shd w:val="clear" w:color="auto" w:fill="F2F2F2"/>
        <w:tblLook w:val="04A0"/>
      </w:tblPr>
      <w:tblGrid>
        <w:gridCol w:w="3402"/>
        <w:gridCol w:w="5954"/>
      </w:tblGrid>
      <w:tr w:rsidR="000C6BE4" w:rsidRPr="00AE35C1" w:rsidTr="00A8645C">
        <w:trPr>
          <w:tblHeader/>
          <w:jc w:val="center"/>
        </w:trPr>
        <w:tc>
          <w:tcPr>
            <w:tcW w:w="3402" w:type="dxa"/>
            <w:shd w:val="clear" w:color="auto" w:fill="F2F2F2"/>
          </w:tcPr>
          <w:p w:rsidR="000C6BE4" w:rsidRPr="00AE35C1" w:rsidRDefault="000C6BE4" w:rsidP="005F49A2">
            <w:pPr>
              <w:spacing w:before="60" w:after="60" w:line="288" w:lineRule="auto"/>
              <w:jc w:val="center"/>
              <w:rPr>
                <w:b/>
                <w:caps/>
                <w:color w:val="000000"/>
                <w:sz w:val="18"/>
                <w:szCs w:val="18"/>
              </w:rPr>
            </w:pPr>
            <w:r w:rsidRPr="00AE35C1">
              <w:rPr>
                <w:b/>
                <w:caps/>
                <w:color w:val="000000"/>
                <w:sz w:val="18"/>
                <w:szCs w:val="18"/>
              </w:rPr>
              <w:lastRenderedPageBreak/>
              <w:t>Mocne strony</w:t>
            </w:r>
          </w:p>
        </w:tc>
        <w:tc>
          <w:tcPr>
            <w:tcW w:w="5954" w:type="dxa"/>
            <w:shd w:val="clear" w:color="auto" w:fill="F2F2F2"/>
          </w:tcPr>
          <w:p w:rsidR="000C6BE4" w:rsidRPr="00AE35C1" w:rsidRDefault="000C6BE4" w:rsidP="005F49A2">
            <w:pPr>
              <w:spacing w:before="60" w:after="60" w:line="288" w:lineRule="auto"/>
              <w:jc w:val="center"/>
              <w:rPr>
                <w:b/>
                <w:caps/>
                <w:color w:val="000000"/>
                <w:sz w:val="18"/>
                <w:szCs w:val="18"/>
              </w:rPr>
            </w:pPr>
            <w:r w:rsidRPr="00AE35C1">
              <w:rPr>
                <w:b/>
                <w:caps/>
                <w:color w:val="000000"/>
                <w:sz w:val="18"/>
                <w:szCs w:val="18"/>
              </w:rPr>
              <w:t>Słabe strony</w:t>
            </w:r>
          </w:p>
        </w:tc>
      </w:tr>
      <w:tr w:rsidR="000C6BE4" w:rsidRPr="00AE35C1" w:rsidTr="00A8645C">
        <w:trPr>
          <w:jc w:val="center"/>
        </w:trPr>
        <w:tc>
          <w:tcPr>
            <w:tcW w:w="3402" w:type="dxa"/>
            <w:shd w:val="clear" w:color="auto" w:fill="F2F2F2"/>
          </w:tcPr>
          <w:p w:rsidR="000C6BE4" w:rsidRPr="00AE35C1" w:rsidRDefault="000C6BE4" w:rsidP="005F49A2">
            <w:pPr>
              <w:pStyle w:val="Akapitzlist"/>
              <w:numPr>
                <w:ilvl w:val="0"/>
                <w:numId w:val="18"/>
              </w:numPr>
              <w:spacing w:before="60" w:after="60" w:line="288" w:lineRule="auto"/>
              <w:ind w:left="313" w:hanging="284"/>
              <w:jc w:val="both"/>
              <w:rPr>
                <w:color w:val="000000"/>
                <w:sz w:val="17"/>
                <w:szCs w:val="17"/>
              </w:rPr>
            </w:pPr>
            <w:r w:rsidRPr="00AE35C1">
              <w:rPr>
                <w:color w:val="000000"/>
                <w:sz w:val="17"/>
                <w:szCs w:val="17"/>
              </w:rPr>
              <w:t>duże zróżnicowanie przyrodnicze i krajobrazowe regionu, wyróżniające go na tle kraju,</w:t>
            </w:r>
          </w:p>
          <w:p w:rsidR="000C6BE4" w:rsidRPr="00AE35C1" w:rsidRDefault="000C6BE4" w:rsidP="005F49A2">
            <w:pPr>
              <w:pStyle w:val="Akapitzlist"/>
              <w:numPr>
                <w:ilvl w:val="0"/>
                <w:numId w:val="18"/>
              </w:numPr>
              <w:spacing w:before="60" w:after="60" w:line="288" w:lineRule="auto"/>
              <w:ind w:left="313" w:hanging="284"/>
              <w:jc w:val="both"/>
              <w:rPr>
                <w:color w:val="000000"/>
                <w:sz w:val="17"/>
                <w:szCs w:val="17"/>
              </w:rPr>
            </w:pPr>
            <w:r w:rsidRPr="00AE35C1">
              <w:rPr>
                <w:color w:val="000000"/>
                <w:sz w:val="17"/>
                <w:szCs w:val="17"/>
              </w:rPr>
              <w:t>występowanie wszystkich form ochrony zapisanych w ustawie o ochronie przyrody,</w:t>
            </w:r>
          </w:p>
          <w:p w:rsidR="000C6BE4" w:rsidRPr="00AE35C1" w:rsidRDefault="000C6BE4" w:rsidP="005F49A2">
            <w:pPr>
              <w:pStyle w:val="Akapitzlist"/>
              <w:numPr>
                <w:ilvl w:val="0"/>
                <w:numId w:val="18"/>
              </w:numPr>
              <w:spacing w:before="60" w:after="60" w:line="288" w:lineRule="auto"/>
              <w:ind w:left="313" w:hanging="284"/>
              <w:jc w:val="both"/>
              <w:rPr>
                <w:color w:val="000000"/>
                <w:sz w:val="17"/>
                <w:szCs w:val="17"/>
              </w:rPr>
            </w:pPr>
            <w:r w:rsidRPr="00AE35C1">
              <w:rPr>
                <w:color w:val="000000"/>
                <w:sz w:val="17"/>
                <w:szCs w:val="17"/>
              </w:rPr>
              <w:t xml:space="preserve">duże zwarte obszary leśne, zróżnicowane pod względem typów siedliskowych, </w:t>
            </w:r>
          </w:p>
          <w:p w:rsidR="000C6BE4" w:rsidRPr="00AE35C1" w:rsidRDefault="000C6BE4" w:rsidP="005F49A2">
            <w:pPr>
              <w:pStyle w:val="Akapitzlist"/>
              <w:numPr>
                <w:ilvl w:val="0"/>
                <w:numId w:val="20"/>
              </w:numPr>
              <w:spacing w:before="60" w:after="60" w:line="288" w:lineRule="auto"/>
              <w:ind w:left="313" w:hanging="313"/>
              <w:rPr>
                <w:color w:val="000000"/>
                <w:sz w:val="17"/>
                <w:szCs w:val="17"/>
              </w:rPr>
            </w:pPr>
            <w:r w:rsidRPr="00AE35C1">
              <w:rPr>
                <w:color w:val="000000"/>
                <w:sz w:val="17"/>
                <w:szCs w:val="17"/>
              </w:rPr>
              <w:t>występowanie dużych zwartych kompleksów gleb wysokiej jakości, o znacznym zróżnicowaniu typologicznym,</w:t>
            </w:r>
          </w:p>
          <w:p w:rsidR="000C6BE4" w:rsidRPr="00AE35C1" w:rsidRDefault="000C6BE4" w:rsidP="005F49A2">
            <w:pPr>
              <w:pStyle w:val="Akapitzlist"/>
              <w:numPr>
                <w:ilvl w:val="0"/>
                <w:numId w:val="20"/>
              </w:numPr>
              <w:spacing w:before="60" w:after="60" w:line="288" w:lineRule="auto"/>
              <w:ind w:left="313" w:hanging="313"/>
              <w:rPr>
                <w:color w:val="000000"/>
                <w:sz w:val="17"/>
                <w:szCs w:val="17"/>
              </w:rPr>
            </w:pPr>
            <w:r w:rsidRPr="00AE35C1">
              <w:rPr>
                <w:color w:val="000000"/>
                <w:sz w:val="17"/>
                <w:szCs w:val="17"/>
              </w:rPr>
              <w:t>bogate zasoby różnorodnych kopalin użytecznych o znaczeniu krajowym i regionalnym,</w:t>
            </w:r>
          </w:p>
          <w:p w:rsidR="000C6BE4" w:rsidRPr="00AE35C1" w:rsidRDefault="000C6BE4" w:rsidP="005F49A2">
            <w:pPr>
              <w:pStyle w:val="Akapitzlist"/>
              <w:numPr>
                <w:ilvl w:val="0"/>
                <w:numId w:val="21"/>
              </w:numPr>
              <w:spacing w:before="60" w:after="60" w:line="288" w:lineRule="auto"/>
              <w:ind w:left="313" w:hanging="284"/>
              <w:rPr>
                <w:color w:val="000000"/>
                <w:sz w:val="17"/>
                <w:szCs w:val="17"/>
              </w:rPr>
            </w:pPr>
            <w:r w:rsidRPr="00AE35C1">
              <w:rPr>
                <w:color w:val="000000"/>
                <w:sz w:val="17"/>
                <w:szCs w:val="17"/>
              </w:rPr>
              <w:t xml:space="preserve">istotne w skali kraju złoża wód leczniczych i termalnych. </w:t>
            </w:r>
          </w:p>
        </w:tc>
        <w:tc>
          <w:tcPr>
            <w:tcW w:w="5954" w:type="dxa"/>
            <w:shd w:val="clear" w:color="auto" w:fill="F2F2F2"/>
          </w:tcPr>
          <w:p w:rsidR="000C6BE4" w:rsidRPr="00AE35C1" w:rsidRDefault="000C6BE4" w:rsidP="005F49A2">
            <w:pPr>
              <w:pStyle w:val="Akapitzlist"/>
              <w:numPr>
                <w:ilvl w:val="0"/>
                <w:numId w:val="19"/>
              </w:numPr>
              <w:spacing w:before="60" w:after="60" w:line="288" w:lineRule="auto"/>
              <w:ind w:left="317" w:hanging="283"/>
              <w:jc w:val="both"/>
              <w:rPr>
                <w:color w:val="000000"/>
                <w:sz w:val="17"/>
                <w:szCs w:val="17"/>
              </w:rPr>
            </w:pPr>
            <w:r w:rsidRPr="00AE35C1">
              <w:rPr>
                <w:color w:val="000000"/>
                <w:sz w:val="17"/>
                <w:szCs w:val="17"/>
              </w:rPr>
              <w:t>degradacja różnorodności przyrodniczej i krajobrazowej terenów otwartych, związana z narastającą presją urbanizacji oraz gospodarczym wykorzystaniem terenów cennych pod względem przyrodnicz</w:t>
            </w:r>
            <w:r w:rsidR="00E807F6" w:rsidRPr="00AE35C1">
              <w:rPr>
                <w:color w:val="000000"/>
                <w:sz w:val="17"/>
                <w:szCs w:val="17"/>
              </w:rPr>
              <w:t>o</w:t>
            </w:r>
            <w:r w:rsidR="00532F6F" w:rsidRPr="00AE35C1">
              <w:rPr>
                <w:color w:val="000000"/>
                <w:sz w:val="17"/>
                <w:szCs w:val="17"/>
              </w:rPr>
              <w:t>-</w:t>
            </w:r>
            <w:r w:rsidRPr="00AE35C1">
              <w:rPr>
                <w:color w:val="000000"/>
                <w:sz w:val="17"/>
                <w:szCs w:val="17"/>
              </w:rPr>
              <w:t xml:space="preserve">krajobrazowym, </w:t>
            </w:r>
          </w:p>
          <w:p w:rsidR="000C6BE4" w:rsidRPr="00AE35C1" w:rsidRDefault="000C6BE4" w:rsidP="005F49A2">
            <w:pPr>
              <w:pStyle w:val="Akapitzlist"/>
              <w:numPr>
                <w:ilvl w:val="0"/>
                <w:numId w:val="19"/>
              </w:numPr>
              <w:spacing w:before="60" w:after="60" w:line="288" w:lineRule="auto"/>
              <w:ind w:left="317" w:hanging="283"/>
              <w:jc w:val="both"/>
              <w:rPr>
                <w:color w:val="000000"/>
                <w:sz w:val="17"/>
                <w:szCs w:val="17"/>
              </w:rPr>
            </w:pPr>
            <w:r w:rsidRPr="00AE35C1">
              <w:rPr>
                <w:color w:val="000000"/>
                <w:sz w:val="17"/>
                <w:szCs w:val="17"/>
              </w:rPr>
              <w:t>najmniejszy obszarowo udział obszarów chronionych w powierzchni ogółem województwa w Polsce (nie dotyczy obszarów NATURA 2000),</w:t>
            </w:r>
          </w:p>
          <w:p w:rsidR="000C6BE4" w:rsidRPr="00AE35C1" w:rsidRDefault="000C6BE4" w:rsidP="005F49A2">
            <w:pPr>
              <w:pStyle w:val="Akapitzlist"/>
              <w:numPr>
                <w:ilvl w:val="0"/>
                <w:numId w:val="19"/>
              </w:numPr>
              <w:spacing w:before="60" w:after="60" w:line="288" w:lineRule="auto"/>
              <w:ind w:left="317" w:hanging="283"/>
              <w:jc w:val="both"/>
              <w:rPr>
                <w:color w:val="000000"/>
                <w:sz w:val="17"/>
                <w:szCs w:val="17"/>
              </w:rPr>
            </w:pPr>
            <w:r w:rsidRPr="00AE35C1">
              <w:rPr>
                <w:color w:val="000000"/>
                <w:sz w:val="17"/>
                <w:szCs w:val="17"/>
              </w:rPr>
              <w:t>brak kompleksowej waloryzacji złóż surowców skalnych i potencjału energii geotermalnej w województwie,</w:t>
            </w:r>
          </w:p>
          <w:p w:rsidR="000C6BE4" w:rsidRPr="00AE35C1" w:rsidRDefault="000C6BE4" w:rsidP="005F49A2">
            <w:pPr>
              <w:pStyle w:val="Akapitzlist"/>
              <w:numPr>
                <w:ilvl w:val="0"/>
                <w:numId w:val="19"/>
              </w:numPr>
              <w:spacing w:before="60" w:after="60" w:line="288" w:lineRule="auto"/>
              <w:ind w:left="317" w:hanging="283"/>
              <w:jc w:val="both"/>
              <w:rPr>
                <w:color w:val="000000"/>
                <w:sz w:val="17"/>
                <w:szCs w:val="17"/>
              </w:rPr>
            </w:pPr>
            <w:r w:rsidRPr="00AE35C1">
              <w:rPr>
                <w:color w:val="000000"/>
                <w:sz w:val="17"/>
                <w:szCs w:val="17"/>
              </w:rPr>
              <w:t xml:space="preserve">ponadnormatywne zapylenie powietrza (PM10 i PM2,5) i zanieczyszczenie </w:t>
            </w:r>
            <w:proofErr w:type="spellStart"/>
            <w:r w:rsidRPr="00AE35C1">
              <w:rPr>
                <w:color w:val="000000"/>
                <w:sz w:val="17"/>
                <w:szCs w:val="17"/>
              </w:rPr>
              <w:t>bezno</w:t>
            </w:r>
            <w:proofErr w:type="spellEnd"/>
            <w:r w:rsidRPr="00AE35C1">
              <w:rPr>
                <w:color w:val="000000"/>
                <w:sz w:val="17"/>
                <w:szCs w:val="17"/>
              </w:rPr>
              <w:t>(a)</w:t>
            </w:r>
            <w:proofErr w:type="spellStart"/>
            <w:r w:rsidRPr="00AE35C1">
              <w:rPr>
                <w:color w:val="000000"/>
                <w:sz w:val="17"/>
                <w:szCs w:val="17"/>
              </w:rPr>
              <w:t>pirenem</w:t>
            </w:r>
            <w:proofErr w:type="spellEnd"/>
            <w:r w:rsidRPr="00AE35C1">
              <w:rPr>
                <w:color w:val="000000"/>
                <w:sz w:val="17"/>
                <w:szCs w:val="17"/>
              </w:rPr>
              <w:t>, w tym przekroczenia dopuszczalnych poziomów zanieczyszcz</w:t>
            </w:r>
            <w:r w:rsidR="00B131F2" w:rsidRPr="00AE35C1">
              <w:rPr>
                <w:color w:val="000000"/>
                <w:sz w:val="17"/>
                <w:szCs w:val="17"/>
              </w:rPr>
              <w:t xml:space="preserve">eń na obszarach uzdrowiskowych oraz arsenem w otoczeniu dużych ośrodków przemysłowych LGOM, a także </w:t>
            </w:r>
            <w:r w:rsidRPr="00AE35C1">
              <w:rPr>
                <w:color w:val="000000"/>
                <w:sz w:val="17"/>
                <w:szCs w:val="17"/>
              </w:rPr>
              <w:t>ponadnormatywne stężenia dwutlenku azotu (NO2) w sąsiedztwie ruchliwych dróg,</w:t>
            </w:r>
          </w:p>
          <w:p w:rsidR="000C6BE4" w:rsidRDefault="000C6BE4" w:rsidP="005F49A2">
            <w:pPr>
              <w:pStyle w:val="Akapitzlist"/>
              <w:numPr>
                <w:ilvl w:val="0"/>
                <w:numId w:val="19"/>
              </w:numPr>
              <w:spacing w:before="60" w:after="60" w:line="288" w:lineRule="auto"/>
              <w:ind w:left="317" w:hanging="283"/>
              <w:jc w:val="both"/>
              <w:rPr>
                <w:color w:val="000000"/>
                <w:sz w:val="17"/>
                <w:szCs w:val="17"/>
              </w:rPr>
            </w:pPr>
            <w:r w:rsidRPr="00AE35C1">
              <w:rPr>
                <w:color w:val="000000"/>
                <w:sz w:val="17"/>
                <w:szCs w:val="17"/>
              </w:rPr>
              <w:t>degradacja klimatu akustycznego we Wrocławiu i wzdłuż ważniejszych tras komunikacyjnych,</w:t>
            </w:r>
          </w:p>
          <w:p w:rsidR="004964B3" w:rsidRPr="00AE35C1" w:rsidRDefault="004964B3" w:rsidP="005F49A2">
            <w:pPr>
              <w:pStyle w:val="Akapitzlist"/>
              <w:numPr>
                <w:ilvl w:val="0"/>
                <w:numId w:val="19"/>
              </w:numPr>
              <w:spacing w:before="60" w:after="60" w:line="288" w:lineRule="auto"/>
              <w:ind w:left="317" w:hanging="283"/>
              <w:jc w:val="both"/>
              <w:rPr>
                <w:color w:val="000000"/>
                <w:sz w:val="17"/>
                <w:szCs w:val="17"/>
              </w:rPr>
            </w:pPr>
            <w:r>
              <w:rPr>
                <w:color w:val="000000"/>
                <w:sz w:val="17"/>
                <w:szCs w:val="17"/>
              </w:rPr>
              <w:t>wysoki poziom zagrożenia powodzią i suszą,</w:t>
            </w:r>
          </w:p>
          <w:p w:rsidR="000C6BE4" w:rsidRPr="00AE35C1" w:rsidRDefault="000C6BE4" w:rsidP="005F49A2">
            <w:pPr>
              <w:pStyle w:val="Akapitzlist"/>
              <w:numPr>
                <w:ilvl w:val="0"/>
                <w:numId w:val="19"/>
              </w:numPr>
              <w:spacing w:before="60" w:after="60" w:line="288" w:lineRule="auto"/>
              <w:ind w:left="317" w:hanging="283"/>
              <w:jc w:val="both"/>
              <w:rPr>
                <w:color w:val="000000"/>
                <w:sz w:val="17"/>
                <w:szCs w:val="17"/>
              </w:rPr>
            </w:pPr>
            <w:r w:rsidRPr="00AE35C1">
              <w:rPr>
                <w:color w:val="000000"/>
                <w:sz w:val="17"/>
                <w:szCs w:val="17"/>
              </w:rPr>
              <w:t>zły stan wód, badany w odniesieniu do jednolitych części wód powierzchniowych oraz stosunkowo duże zagrożenie powodziowe.</w:t>
            </w:r>
          </w:p>
        </w:tc>
      </w:tr>
    </w:tbl>
    <w:p w:rsidR="000C6BE4" w:rsidRPr="00AE35C1" w:rsidRDefault="000C6BE4" w:rsidP="005F49A2">
      <w:pPr>
        <w:pStyle w:val="TEKST"/>
        <w:spacing w:before="200" w:after="0"/>
        <w:rPr>
          <w:sz w:val="2"/>
          <w:szCs w:val="2"/>
        </w:rPr>
      </w:pPr>
    </w:p>
    <w:p w:rsidR="000C6BE4" w:rsidRPr="00AE35C1" w:rsidRDefault="000C6BE4" w:rsidP="00D41A4A">
      <w:pPr>
        <w:pStyle w:val="Nagwek2"/>
        <w:sectPr w:rsidR="000C6BE4" w:rsidRPr="00AE35C1" w:rsidSect="00E73C96">
          <w:footerReference w:type="even" r:id="rId21"/>
          <w:type w:val="continuous"/>
          <w:pgSz w:w="11906" w:h="16838"/>
          <w:pgMar w:top="1276" w:right="1276" w:bottom="1134" w:left="1418" w:header="709" w:footer="561" w:gutter="0"/>
          <w:cols w:space="454"/>
          <w:titlePg/>
          <w:docGrid w:linePitch="360"/>
        </w:sectPr>
      </w:pPr>
    </w:p>
    <w:p w:rsidR="000C6BE4" w:rsidRPr="00AE35C1" w:rsidRDefault="000C6BE4" w:rsidP="00814A82">
      <w:pPr>
        <w:pStyle w:val="Nagwek3"/>
        <w:rPr>
          <w:sz w:val="19"/>
          <w:szCs w:val="19"/>
        </w:rPr>
      </w:pPr>
      <w:bookmarkStart w:id="18" w:name="_Toc499582761"/>
      <w:bookmarkStart w:id="19" w:name="_Toc511716305"/>
      <w:r w:rsidRPr="00AE35C1">
        <w:lastRenderedPageBreak/>
        <w:t>ŚRODOWISKO KULTUROWE</w:t>
      </w:r>
      <w:bookmarkEnd w:id="18"/>
      <w:bookmarkEnd w:id="19"/>
    </w:p>
    <w:p w:rsidR="000C6BE4" w:rsidRPr="00AE35C1" w:rsidRDefault="000C6BE4" w:rsidP="005F49A2">
      <w:pPr>
        <w:pStyle w:val="TEKST"/>
        <w:spacing w:after="0"/>
        <w:rPr>
          <w:sz w:val="19"/>
          <w:szCs w:val="19"/>
        </w:rPr>
      </w:pPr>
      <w:r w:rsidRPr="00AE35C1">
        <w:rPr>
          <w:color w:val="404040"/>
          <w:sz w:val="19"/>
          <w:szCs w:val="19"/>
        </w:rPr>
        <w:t xml:space="preserve">Na terenie województwa dolnośląskiego obserwuje się dużą </w:t>
      </w:r>
      <w:r w:rsidRPr="00AE35C1">
        <w:rPr>
          <w:sz w:val="19"/>
          <w:szCs w:val="19"/>
        </w:rPr>
        <w:t xml:space="preserve">różnorodność form </w:t>
      </w:r>
      <w:r w:rsidRPr="00AE35C1">
        <w:rPr>
          <w:b/>
          <w:sz w:val="19"/>
          <w:szCs w:val="19"/>
        </w:rPr>
        <w:t>krajobrazu</w:t>
      </w:r>
      <w:r w:rsidRPr="00AE35C1">
        <w:rPr>
          <w:sz w:val="19"/>
          <w:szCs w:val="19"/>
        </w:rPr>
        <w:t xml:space="preserve"> oraz bogactwo </w:t>
      </w:r>
      <w:r w:rsidRPr="00AE35C1">
        <w:rPr>
          <w:b/>
          <w:sz w:val="19"/>
          <w:szCs w:val="19"/>
        </w:rPr>
        <w:t>dziedzictwa kultury</w:t>
      </w:r>
      <w:r w:rsidRPr="00AE35C1">
        <w:rPr>
          <w:sz w:val="19"/>
          <w:szCs w:val="19"/>
        </w:rPr>
        <w:t xml:space="preserve"> materialnej. Większość miast Dolnego Śląska posiada historycznie wykształcony układ przestrzenny z obiektami zabytkowej zabudowy. Występują tu także miejscowości uzdrowiskowe z obiektami zdrojowymi oraz charakterystyczną zabudową sanatoryjno-pensjonatową. Cechą odróżniającą Dolny Śląsk od pozostałych regionów Polski jest występowanie </w:t>
      </w:r>
      <w:r w:rsidR="00A9463E">
        <w:rPr>
          <w:sz w:val="19"/>
          <w:szCs w:val="19"/>
        </w:rPr>
        <w:t xml:space="preserve">w jednej miejscowości </w:t>
      </w:r>
      <w:r w:rsidRPr="00AE35C1">
        <w:rPr>
          <w:sz w:val="19"/>
          <w:szCs w:val="19"/>
        </w:rPr>
        <w:t xml:space="preserve">kościołów obu wyznań – katolickiego i protestanckiego. </w:t>
      </w:r>
    </w:p>
    <w:p w:rsidR="000C6BE4" w:rsidRPr="00AE35C1" w:rsidRDefault="000C6BE4" w:rsidP="004D6D17">
      <w:pPr>
        <w:pStyle w:val="MAPA"/>
        <w:spacing w:line="288" w:lineRule="auto"/>
        <w:ind w:left="709" w:hanging="709"/>
        <w:jc w:val="both"/>
        <w:rPr>
          <w:rFonts w:ascii="Calibri" w:hAnsi="Calibri" w:cs="Calibri"/>
          <w:sz w:val="18"/>
          <w:szCs w:val="18"/>
        </w:rPr>
      </w:pPr>
      <w:bookmarkStart w:id="20" w:name="_Toc495922941"/>
      <w:r w:rsidRPr="00AE35C1">
        <w:rPr>
          <w:rFonts w:ascii="Calibri" w:hAnsi="Calibri" w:cs="Calibri"/>
          <w:sz w:val="18"/>
          <w:szCs w:val="18"/>
        </w:rPr>
        <w:t xml:space="preserve">MAPA </w:t>
      </w:r>
      <w:r w:rsidR="004964B3">
        <w:rPr>
          <w:rFonts w:ascii="Calibri" w:hAnsi="Calibri" w:cs="Calibri"/>
          <w:sz w:val="18"/>
          <w:szCs w:val="18"/>
        </w:rPr>
        <w:t>5</w:t>
      </w:r>
      <w:r w:rsidRPr="00AE35C1">
        <w:rPr>
          <w:rFonts w:ascii="Calibri" w:hAnsi="Calibri" w:cs="Calibri"/>
          <w:sz w:val="18"/>
          <w:szCs w:val="18"/>
        </w:rPr>
        <w:t xml:space="preserve">. Zasoby dziedzictwa kulturowego w województwie dolnośląskim </w:t>
      </w:r>
      <w:bookmarkEnd w:id="20"/>
    </w:p>
    <w:p w:rsidR="000C6BE4" w:rsidRPr="00AE35C1" w:rsidRDefault="00A9463E" w:rsidP="005F49A2">
      <w:pPr>
        <w:pStyle w:val="TEKST"/>
        <w:spacing w:after="0"/>
        <w:rPr>
          <w:sz w:val="19"/>
          <w:szCs w:val="19"/>
        </w:rPr>
      </w:pPr>
      <w:r w:rsidRPr="00A9463E">
        <w:rPr>
          <w:noProof/>
          <w:sz w:val="19"/>
          <w:szCs w:val="19"/>
          <w:lang w:eastAsia="pl-PL"/>
        </w:rPr>
        <w:drawing>
          <wp:inline distT="0" distB="0" distL="0" distR="0">
            <wp:extent cx="2780069" cy="2594225"/>
            <wp:effectExtent l="0" t="0" r="1270" b="0"/>
            <wp:docPr id="86" name="Obraz 86" descr="P:\ PROJEKTY 2017\09 SRWD 2030\04_Grafika\jpg\Zasoby_dziedzictwa_kulturowego_1204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 PROJEKTY 2017\09 SRWD 2030\04_Grafika\jpg\Zasoby_dziedzictwa_kulturowego_12042018.jpg"/>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46" b="-1"/>
                    <a:stretch/>
                  </pic:blipFill>
                  <pic:spPr bwMode="auto">
                    <a:xfrm>
                      <a:off x="0" y="0"/>
                      <a:ext cx="2780665" cy="25947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6BE4" w:rsidRPr="00AE35C1" w:rsidRDefault="000C6BE4" w:rsidP="005F49A2">
      <w:pPr>
        <w:pStyle w:val="RDO"/>
        <w:spacing w:line="288" w:lineRule="auto"/>
        <w:rPr>
          <w:color w:val="000000"/>
        </w:rPr>
      </w:pPr>
      <w:r w:rsidRPr="00AE35C1">
        <w:rPr>
          <w:color w:val="000000"/>
        </w:rPr>
        <w:t>Źródło: opracowanie własne.</w:t>
      </w:r>
    </w:p>
    <w:p w:rsidR="00C57DA0" w:rsidRPr="00AE35C1" w:rsidRDefault="000C6BE4" w:rsidP="008E034C">
      <w:pPr>
        <w:spacing w:after="120" w:line="288" w:lineRule="auto"/>
        <w:jc w:val="both"/>
        <w:rPr>
          <w:color w:val="000000"/>
          <w:sz w:val="19"/>
          <w:szCs w:val="19"/>
        </w:rPr>
      </w:pPr>
      <w:r w:rsidRPr="00AE35C1">
        <w:rPr>
          <w:sz w:val="19"/>
          <w:szCs w:val="19"/>
        </w:rPr>
        <w:t xml:space="preserve">Ogólna liczba </w:t>
      </w:r>
      <w:r w:rsidRPr="00AE35C1">
        <w:rPr>
          <w:b/>
          <w:sz w:val="19"/>
          <w:szCs w:val="19"/>
        </w:rPr>
        <w:t>obiektów zabytkowych</w:t>
      </w:r>
      <w:r w:rsidR="00E2534F" w:rsidRPr="00AE35C1">
        <w:rPr>
          <w:rStyle w:val="Odwoanieprzypisudolnego"/>
          <w:b/>
          <w:sz w:val="19"/>
          <w:szCs w:val="19"/>
        </w:rPr>
        <w:footnoteReference w:id="2"/>
      </w:r>
      <w:r w:rsidRPr="00AE35C1">
        <w:rPr>
          <w:sz w:val="19"/>
          <w:szCs w:val="19"/>
        </w:rPr>
        <w:t xml:space="preserve"> wpisanych do rejestru zabytków wynosi 4</w:t>
      </w:r>
      <w:r w:rsidR="00A9463E">
        <w:rPr>
          <w:sz w:val="19"/>
          <w:szCs w:val="19"/>
        </w:rPr>
        <w:t>9</w:t>
      </w:r>
      <w:r w:rsidRPr="00AE35C1">
        <w:rPr>
          <w:sz w:val="19"/>
          <w:szCs w:val="19"/>
        </w:rPr>
        <w:t> </w:t>
      </w:r>
      <w:r w:rsidR="00A9463E">
        <w:rPr>
          <w:sz w:val="19"/>
          <w:szCs w:val="19"/>
        </w:rPr>
        <w:t>245</w:t>
      </w:r>
      <w:r w:rsidRPr="00AE35C1">
        <w:rPr>
          <w:sz w:val="19"/>
          <w:szCs w:val="19"/>
        </w:rPr>
        <w:t xml:space="preserve">, w tym </w:t>
      </w:r>
      <w:r w:rsidR="00A9463E">
        <w:rPr>
          <w:sz w:val="19"/>
          <w:szCs w:val="19"/>
        </w:rPr>
        <w:t xml:space="preserve">8 452 </w:t>
      </w:r>
      <w:r w:rsidRPr="00AE35C1">
        <w:rPr>
          <w:sz w:val="19"/>
          <w:szCs w:val="19"/>
        </w:rPr>
        <w:t xml:space="preserve"> zabytk</w:t>
      </w:r>
      <w:r w:rsidR="00A9463E">
        <w:rPr>
          <w:sz w:val="19"/>
          <w:szCs w:val="19"/>
        </w:rPr>
        <w:t>i</w:t>
      </w:r>
      <w:r w:rsidRPr="00AE35C1">
        <w:rPr>
          <w:sz w:val="19"/>
          <w:szCs w:val="19"/>
        </w:rPr>
        <w:t xml:space="preserve"> nieruchom</w:t>
      </w:r>
      <w:r w:rsidR="00A9463E">
        <w:rPr>
          <w:sz w:val="19"/>
          <w:szCs w:val="19"/>
        </w:rPr>
        <w:t>e</w:t>
      </w:r>
      <w:r w:rsidRPr="00AE35C1">
        <w:rPr>
          <w:sz w:val="19"/>
          <w:szCs w:val="19"/>
        </w:rPr>
        <w:t xml:space="preserve"> (1. miejsce w Polsce), 1 492 stanowiska archeologiczne (1. miejsce w Polsce) i </w:t>
      </w:r>
      <w:r w:rsidR="00A9463E">
        <w:rPr>
          <w:sz w:val="19"/>
          <w:szCs w:val="19"/>
        </w:rPr>
        <w:t>39 301</w:t>
      </w:r>
      <w:r w:rsidRPr="00AE35C1">
        <w:rPr>
          <w:sz w:val="19"/>
          <w:szCs w:val="19"/>
        </w:rPr>
        <w:t xml:space="preserve"> zabytków ruchomych (2. miejsce w Polsce). W strukturze zabytków nieruchomych wpisanych do rejestru zabytków największe ilościowo grupy stanowią obiekty mieszkalne i mieszkalno-gospodarcze (</w:t>
      </w:r>
      <w:r w:rsidR="00A9463E">
        <w:rPr>
          <w:sz w:val="19"/>
          <w:szCs w:val="19"/>
        </w:rPr>
        <w:t>2 206</w:t>
      </w:r>
      <w:r w:rsidRPr="00AE35C1">
        <w:rPr>
          <w:sz w:val="19"/>
          <w:szCs w:val="19"/>
        </w:rPr>
        <w:t xml:space="preserve">), obiekty architektury sakralnej </w:t>
      </w:r>
      <w:r w:rsidR="00511650">
        <w:rPr>
          <w:sz w:val="19"/>
          <w:szCs w:val="19"/>
        </w:rPr>
        <w:t>(</w:t>
      </w:r>
      <w:r w:rsidR="00A9463E">
        <w:rPr>
          <w:sz w:val="19"/>
          <w:szCs w:val="19"/>
        </w:rPr>
        <w:t>1 477</w:t>
      </w:r>
      <w:r w:rsidR="00511650">
        <w:rPr>
          <w:sz w:val="19"/>
          <w:szCs w:val="19"/>
        </w:rPr>
        <w:t xml:space="preserve">) i rezydencjonalnej </w:t>
      </w:r>
      <w:r w:rsidRPr="00AE35C1">
        <w:rPr>
          <w:sz w:val="19"/>
          <w:szCs w:val="19"/>
        </w:rPr>
        <w:t>(</w:t>
      </w:r>
      <w:r w:rsidR="00A9463E">
        <w:rPr>
          <w:sz w:val="19"/>
          <w:szCs w:val="19"/>
        </w:rPr>
        <w:t>775</w:t>
      </w:r>
      <w:r w:rsidRPr="00AE35C1">
        <w:rPr>
          <w:sz w:val="19"/>
          <w:szCs w:val="19"/>
        </w:rPr>
        <w:t>) oraz obiekty użyteczności publicznej (</w:t>
      </w:r>
      <w:r w:rsidR="00A9463E">
        <w:rPr>
          <w:sz w:val="19"/>
          <w:szCs w:val="19"/>
        </w:rPr>
        <w:t>669</w:t>
      </w:r>
      <w:r w:rsidRPr="00AE35C1">
        <w:rPr>
          <w:sz w:val="19"/>
          <w:szCs w:val="19"/>
        </w:rPr>
        <w:t xml:space="preserve">). W ewidencji zabytków znajduje się 100 449 zabytków architektury i budownictwa oraz ich zespoły, parki i cmentarze (w tym 7,5% wpisanych do rejestru), 342 układy urbanistyczne (w tym 39% wpisanych do rejestru zabytków), 1 993 układy ruralistyczne (w tym 0,5% wpisanych do rejestru zabytków), 2 523 obszary ochrony archeologicznej </w:t>
      </w:r>
      <w:r w:rsidRPr="00AE35C1">
        <w:rPr>
          <w:sz w:val="19"/>
          <w:szCs w:val="19"/>
        </w:rPr>
        <w:lastRenderedPageBreak/>
        <w:t xml:space="preserve">(w tym 2 obszary wpisane do rejestru zabytków), </w:t>
      </w:r>
      <w:r w:rsidR="00A9463E">
        <w:rPr>
          <w:sz w:val="19"/>
          <w:szCs w:val="19"/>
        </w:rPr>
        <w:t xml:space="preserve">39 301 </w:t>
      </w:r>
      <w:r w:rsidRPr="00AE35C1">
        <w:rPr>
          <w:sz w:val="19"/>
          <w:szCs w:val="19"/>
        </w:rPr>
        <w:t> stanowisk archeologicznych (w tym 4,7% wpisanych do rejestru zabytków).</w:t>
      </w:r>
      <w:r w:rsidR="00250CFA" w:rsidRPr="00AE35C1">
        <w:rPr>
          <w:sz w:val="19"/>
          <w:szCs w:val="19"/>
        </w:rPr>
        <w:t xml:space="preserve"> </w:t>
      </w:r>
      <w:r w:rsidRPr="00AE35C1">
        <w:rPr>
          <w:sz w:val="19"/>
          <w:szCs w:val="19"/>
        </w:rPr>
        <w:t xml:space="preserve">Na Dolnym Śląsku występuje </w:t>
      </w:r>
      <w:r w:rsidR="00A9463E">
        <w:rPr>
          <w:sz w:val="19"/>
          <w:szCs w:val="19"/>
        </w:rPr>
        <w:t>11</w:t>
      </w:r>
      <w:r w:rsidRPr="00AE35C1">
        <w:rPr>
          <w:sz w:val="19"/>
          <w:szCs w:val="19"/>
        </w:rPr>
        <w:t xml:space="preserve"> obiektów i zespołów zabytkowych o wybitnych wartościach artystycznych i historycznych, posiadających szczególne znaczenie dla dziedzictwa kulturowego kraju, które objęte są ochroną prawną w formie wpisu na krajową listę Pomników Historii. </w:t>
      </w:r>
      <w:r w:rsidR="00C57DA0" w:rsidRPr="00AE35C1">
        <w:rPr>
          <w:color w:val="000000"/>
          <w:sz w:val="19"/>
          <w:szCs w:val="19"/>
        </w:rPr>
        <w:t xml:space="preserve">Należą do nich: </w:t>
      </w:r>
      <w:r w:rsidR="00A9463E">
        <w:rPr>
          <w:color w:val="000000"/>
          <w:sz w:val="19"/>
          <w:szCs w:val="19"/>
        </w:rPr>
        <w:t xml:space="preserve">kościół pw. Ducha Świętego zwany kościołem Pokoju w Jaworze, </w:t>
      </w:r>
      <w:r w:rsidR="00C57DA0" w:rsidRPr="00AE35C1">
        <w:rPr>
          <w:color w:val="000000"/>
          <w:sz w:val="19"/>
          <w:szCs w:val="19"/>
        </w:rPr>
        <w:t>młyn papierniczy w</w:t>
      </w:r>
      <w:r w:rsidR="00F84E12">
        <w:rPr>
          <w:color w:val="000000"/>
          <w:sz w:val="19"/>
          <w:szCs w:val="19"/>
        </w:rPr>
        <w:t> </w:t>
      </w:r>
      <w:r w:rsidR="00C57DA0" w:rsidRPr="00AE35C1">
        <w:rPr>
          <w:color w:val="000000"/>
          <w:sz w:val="19"/>
          <w:szCs w:val="19"/>
        </w:rPr>
        <w:t>Dusznikach-Zdroju, pałace i parki krajobraz</w:t>
      </w:r>
      <w:r w:rsidR="000666B0" w:rsidRPr="00AE35C1">
        <w:rPr>
          <w:color w:val="000000"/>
          <w:sz w:val="19"/>
          <w:szCs w:val="19"/>
        </w:rPr>
        <w:t>owe Kotliny Jeleniogórskiej (11 </w:t>
      </w:r>
      <w:r w:rsidR="00C57DA0" w:rsidRPr="00AE35C1">
        <w:rPr>
          <w:color w:val="000000"/>
          <w:sz w:val="19"/>
          <w:szCs w:val="19"/>
        </w:rPr>
        <w:t>obiektów), zespół dawnego opactwa cystersów w</w:t>
      </w:r>
      <w:r w:rsidR="000666B0" w:rsidRPr="00AE35C1">
        <w:rPr>
          <w:color w:val="000000"/>
          <w:sz w:val="19"/>
          <w:szCs w:val="19"/>
        </w:rPr>
        <w:t> </w:t>
      </w:r>
      <w:r w:rsidR="00C57DA0" w:rsidRPr="00AE35C1">
        <w:rPr>
          <w:color w:val="000000"/>
          <w:sz w:val="19"/>
          <w:szCs w:val="19"/>
        </w:rPr>
        <w:t xml:space="preserve">Krzeszowie, </w:t>
      </w:r>
      <w:proofErr w:type="spellStart"/>
      <w:r w:rsidR="00C57DA0" w:rsidRPr="00AE35C1">
        <w:rPr>
          <w:color w:val="000000"/>
          <w:sz w:val="19"/>
          <w:szCs w:val="19"/>
        </w:rPr>
        <w:t>pobe</w:t>
      </w:r>
      <w:r w:rsidR="000666B0" w:rsidRPr="00AE35C1">
        <w:rPr>
          <w:color w:val="000000"/>
          <w:sz w:val="19"/>
          <w:szCs w:val="19"/>
        </w:rPr>
        <w:t>nedyktyński</w:t>
      </w:r>
      <w:proofErr w:type="spellEnd"/>
      <w:r w:rsidR="000666B0" w:rsidRPr="00AE35C1">
        <w:rPr>
          <w:color w:val="000000"/>
          <w:sz w:val="19"/>
          <w:szCs w:val="19"/>
        </w:rPr>
        <w:t xml:space="preserve"> zespół klasztorny w </w:t>
      </w:r>
      <w:r w:rsidR="00C57DA0" w:rsidRPr="00AE35C1">
        <w:rPr>
          <w:color w:val="000000"/>
          <w:sz w:val="19"/>
          <w:szCs w:val="19"/>
        </w:rPr>
        <w:t>Legnickim Polu, Twi</w:t>
      </w:r>
      <w:r w:rsidR="000666B0" w:rsidRPr="00AE35C1">
        <w:rPr>
          <w:color w:val="000000"/>
          <w:sz w:val="19"/>
          <w:szCs w:val="19"/>
        </w:rPr>
        <w:t xml:space="preserve">erdza </w:t>
      </w:r>
      <w:proofErr w:type="spellStart"/>
      <w:r w:rsidR="000666B0" w:rsidRPr="00AE35C1">
        <w:rPr>
          <w:color w:val="000000"/>
          <w:sz w:val="19"/>
          <w:szCs w:val="19"/>
        </w:rPr>
        <w:t>Sreb</w:t>
      </w:r>
      <w:r w:rsidR="003E2BC8" w:rsidRPr="00AE35C1">
        <w:rPr>
          <w:color w:val="000000"/>
          <w:sz w:val="19"/>
          <w:szCs w:val="19"/>
        </w:rPr>
        <w:t>r</w:t>
      </w:r>
      <w:r w:rsidR="000666B0" w:rsidRPr="00AE35C1">
        <w:rPr>
          <w:color w:val="000000"/>
          <w:sz w:val="19"/>
          <w:szCs w:val="19"/>
        </w:rPr>
        <w:t>nogórska</w:t>
      </w:r>
      <w:proofErr w:type="spellEnd"/>
      <w:r w:rsidR="000666B0" w:rsidRPr="00AE35C1">
        <w:rPr>
          <w:color w:val="000000"/>
          <w:sz w:val="19"/>
          <w:szCs w:val="19"/>
        </w:rPr>
        <w:t xml:space="preserve">, kościół </w:t>
      </w:r>
      <w:proofErr w:type="spellStart"/>
      <w:r w:rsidR="000666B0" w:rsidRPr="00AE35C1">
        <w:rPr>
          <w:color w:val="000000"/>
          <w:sz w:val="19"/>
          <w:szCs w:val="19"/>
        </w:rPr>
        <w:t>pw</w:t>
      </w:r>
      <w:proofErr w:type="spellEnd"/>
      <w:r w:rsidR="000666B0" w:rsidRPr="00AE35C1">
        <w:rPr>
          <w:color w:val="000000"/>
          <w:sz w:val="19"/>
          <w:szCs w:val="19"/>
        </w:rPr>
        <w:t>. </w:t>
      </w:r>
      <w:r w:rsidR="00C57DA0" w:rsidRPr="00AE35C1">
        <w:rPr>
          <w:color w:val="000000"/>
          <w:sz w:val="19"/>
          <w:szCs w:val="19"/>
        </w:rPr>
        <w:t xml:space="preserve">Św. Apostołów Piotra i Pawła w Strzegomiu, </w:t>
      </w:r>
      <w:r w:rsidR="00A9463E">
        <w:rPr>
          <w:color w:val="000000"/>
          <w:sz w:val="19"/>
          <w:szCs w:val="19"/>
        </w:rPr>
        <w:t xml:space="preserve">kościół pw. Św. Trójcy zwany kościołem Pokoju </w:t>
      </w:r>
      <w:r w:rsidR="002576FC">
        <w:rPr>
          <w:color w:val="000000"/>
          <w:sz w:val="19"/>
          <w:szCs w:val="19"/>
        </w:rPr>
        <w:t>w</w:t>
      </w:r>
      <w:r w:rsidR="00E7427F">
        <w:rPr>
          <w:color w:val="000000"/>
          <w:sz w:val="19"/>
          <w:szCs w:val="19"/>
        </w:rPr>
        <w:t> </w:t>
      </w:r>
      <w:r w:rsidR="002576FC">
        <w:rPr>
          <w:color w:val="000000"/>
          <w:sz w:val="19"/>
          <w:szCs w:val="19"/>
        </w:rPr>
        <w:t xml:space="preserve">Świdnicy, katedra pw. Świętych Męczenników, biskupa Stanisława i Wacława w Świdnicy, </w:t>
      </w:r>
      <w:r w:rsidR="00C57DA0" w:rsidRPr="00AE35C1">
        <w:rPr>
          <w:color w:val="000000"/>
          <w:sz w:val="19"/>
          <w:szCs w:val="19"/>
        </w:rPr>
        <w:t>zespół dawnego opactwa cysterek w Trzebnicy, zespół historycznego centrum Wrocławia oraz Hala Stuleci</w:t>
      </w:r>
      <w:r w:rsidR="000666B0" w:rsidRPr="00AE35C1">
        <w:rPr>
          <w:color w:val="000000"/>
          <w:sz w:val="19"/>
          <w:szCs w:val="19"/>
        </w:rPr>
        <w:t>a we </w:t>
      </w:r>
      <w:r w:rsidR="00C57DA0" w:rsidRPr="00AE35C1">
        <w:rPr>
          <w:color w:val="000000"/>
          <w:sz w:val="19"/>
          <w:szCs w:val="19"/>
        </w:rPr>
        <w:t xml:space="preserve">Wrocławiu. </w:t>
      </w:r>
    </w:p>
    <w:p w:rsidR="000C6BE4" w:rsidRPr="00AE35C1" w:rsidRDefault="000C6BE4" w:rsidP="001D40BA">
      <w:pPr>
        <w:pStyle w:val="TEKST"/>
        <w:spacing w:before="120" w:after="0"/>
        <w:rPr>
          <w:sz w:val="19"/>
          <w:szCs w:val="19"/>
        </w:rPr>
      </w:pPr>
      <w:r w:rsidRPr="00AE35C1">
        <w:rPr>
          <w:sz w:val="19"/>
          <w:szCs w:val="19"/>
        </w:rPr>
        <w:t>W</w:t>
      </w:r>
      <w:r w:rsidR="00250CFA" w:rsidRPr="00AE35C1">
        <w:rPr>
          <w:sz w:val="19"/>
          <w:szCs w:val="19"/>
        </w:rPr>
        <w:t> </w:t>
      </w:r>
      <w:r w:rsidRPr="00AE35C1">
        <w:rPr>
          <w:sz w:val="19"/>
          <w:szCs w:val="19"/>
        </w:rPr>
        <w:t>regionie znajduje się 5 parków kulturowych oraz 3 </w:t>
      </w:r>
      <w:r w:rsidR="002576FC" w:rsidRPr="00AE35C1" w:rsidDel="002576FC">
        <w:rPr>
          <w:sz w:val="19"/>
          <w:szCs w:val="19"/>
        </w:rPr>
        <w:t xml:space="preserve"> </w:t>
      </w:r>
      <w:r w:rsidRPr="00AE35C1">
        <w:rPr>
          <w:sz w:val="19"/>
          <w:szCs w:val="19"/>
        </w:rPr>
        <w:t>obiekt</w:t>
      </w:r>
      <w:r w:rsidR="002576FC">
        <w:rPr>
          <w:sz w:val="19"/>
          <w:szCs w:val="19"/>
        </w:rPr>
        <w:t>y</w:t>
      </w:r>
      <w:r w:rsidRPr="00AE35C1">
        <w:rPr>
          <w:sz w:val="19"/>
          <w:szCs w:val="19"/>
        </w:rPr>
        <w:t xml:space="preserve"> wpisan</w:t>
      </w:r>
      <w:r w:rsidR="002576FC">
        <w:rPr>
          <w:sz w:val="19"/>
          <w:szCs w:val="19"/>
        </w:rPr>
        <w:t>e</w:t>
      </w:r>
      <w:r w:rsidRPr="00AE35C1">
        <w:rPr>
          <w:sz w:val="19"/>
          <w:szCs w:val="19"/>
        </w:rPr>
        <w:t xml:space="preserve"> na Listę Światowego Dziedzictwa UNESCO</w:t>
      </w:r>
      <w:r w:rsidR="008C19D4" w:rsidRPr="00AE35C1">
        <w:rPr>
          <w:sz w:val="19"/>
          <w:szCs w:val="19"/>
        </w:rPr>
        <w:t xml:space="preserve"> (Hala Stulecia we </w:t>
      </w:r>
      <w:r w:rsidR="00ED7AE1" w:rsidRPr="00AE35C1">
        <w:rPr>
          <w:sz w:val="19"/>
          <w:szCs w:val="19"/>
        </w:rPr>
        <w:t>Wrocławiu o</w:t>
      </w:r>
      <w:r w:rsidR="008C19D4" w:rsidRPr="00AE35C1">
        <w:rPr>
          <w:sz w:val="19"/>
          <w:szCs w:val="19"/>
        </w:rPr>
        <w:t>raz Kościoły Pokoju w Jaworze i </w:t>
      </w:r>
      <w:r w:rsidR="00ED7AE1" w:rsidRPr="00AE35C1">
        <w:rPr>
          <w:sz w:val="19"/>
          <w:szCs w:val="19"/>
        </w:rPr>
        <w:t xml:space="preserve">Świdnicy). </w:t>
      </w:r>
    </w:p>
    <w:p w:rsidR="00A8645C" w:rsidRDefault="000C6BE4" w:rsidP="00D113CA">
      <w:pPr>
        <w:spacing w:before="120" w:after="120" w:line="288" w:lineRule="auto"/>
        <w:jc w:val="both"/>
        <w:rPr>
          <w:color w:val="000000"/>
          <w:sz w:val="19"/>
          <w:szCs w:val="19"/>
        </w:rPr>
      </w:pPr>
      <w:r w:rsidRPr="00AE35C1">
        <w:rPr>
          <w:sz w:val="19"/>
          <w:szCs w:val="19"/>
        </w:rPr>
        <w:t xml:space="preserve">Ważnym elementem dziedzictwa kulturowego na Dolnym Śląsku są </w:t>
      </w:r>
      <w:r w:rsidRPr="00AE35C1">
        <w:rPr>
          <w:b/>
          <w:sz w:val="19"/>
          <w:szCs w:val="19"/>
        </w:rPr>
        <w:t>miejscowości uzdrowiskowe</w:t>
      </w:r>
      <w:r w:rsidRPr="00AE35C1">
        <w:rPr>
          <w:sz w:val="19"/>
          <w:szCs w:val="19"/>
        </w:rPr>
        <w:t>.</w:t>
      </w:r>
      <w:r w:rsidR="00F84E12">
        <w:rPr>
          <w:sz w:val="19"/>
          <w:szCs w:val="19"/>
        </w:rPr>
        <w:t xml:space="preserve"> </w:t>
      </w:r>
      <w:r w:rsidRPr="00AE35C1">
        <w:rPr>
          <w:sz w:val="19"/>
          <w:szCs w:val="19"/>
        </w:rPr>
        <w:t xml:space="preserve">W 2015 roku w województwie dolnośląskim </w:t>
      </w:r>
      <w:r w:rsidRPr="00AE35C1">
        <w:rPr>
          <w:color w:val="000000"/>
          <w:sz w:val="19"/>
          <w:szCs w:val="19"/>
        </w:rPr>
        <w:t xml:space="preserve">funkcjonowało 11 uzdrowisk statutowych </w:t>
      </w:r>
      <w:r w:rsidR="00C57DA0" w:rsidRPr="00AE35C1">
        <w:rPr>
          <w:color w:val="000000"/>
          <w:sz w:val="19"/>
          <w:szCs w:val="19"/>
        </w:rPr>
        <w:t xml:space="preserve">(Cieplice Śląskie, Czerniawa-Zdrój, Długopole-Zdrój, Duszniki-Zdrój, Jedlina-Zdrój, </w:t>
      </w:r>
      <w:r w:rsidR="00186762" w:rsidRPr="00AE35C1">
        <w:rPr>
          <w:color w:val="000000"/>
          <w:sz w:val="19"/>
          <w:szCs w:val="19"/>
        </w:rPr>
        <w:t>Kudowa</w:t>
      </w:r>
      <w:r w:rsidR="00C57DA0" w:rsidRPr="00AE35C1">
        <w:rPr>
          <w:color w:val="000000"/>
          <w:sz w:val="19"/>
          <w:szCs w:val="19"/>
        </w:rPr>
        <w:t>-Zdrój, Lądek-Zdrój, Polanica-Zdrój, Przerzeczyn-Zdrój, Szczawno-Zdrój i</w:t>
      </w:r>
      <w:r w:rsidR="008E034C">
        <w:rPr>
          <w:color w:val="000000"/>
          <w:sz w:val="19"/>
          <w:szCs w:val="19"/>
        </w:rPr>
        <w:t> </w:t>
      </w:r>
      <w:r w:rsidR="00C57DA0" w:rsidRPr="00AE35C1">
        <w:rPr>
          <w:color w:val="000000"/>
          <w:sz w:val="19"/>
          <w:szCs w:val="19"/>
        </w:rPr>
        <w:t xml:space="preserve">Świeradów-Zdrój) </w:t>
      </w:r>
      <w:r w:rsidRPr="00AE35C1">
        <w:rPr>
          <w:color w:val="000000"/>
          <w:sz w:val="19"/>
          <w:szCs w:val="19"/>
        </w:rPr>
        <w:t>co, przy 45 działających w całej Polsce, plasowało region na 1. miejscu w kraju.</w:t>
      </w:r>
    </w:p>
    <w:p w:rsidR="00A8645C" w:rsidRDefault="00A8645C" w:rsidP="00D113CA">
      <w:pPr>
        <w:spacing w:before="120" w:after="120" w:line="288" w:lineRule="auto"/>
        <w:jc w:val="both"/>
        <w:rPr>
          <w:sz w:val="19"/>
          <w:szCs w:val="19"/>
        </w:rPr>
      </w:pPr>
      <w:r w:rsidRPr="00AE35C1">
        <w:rPr>
          <w:b/>
          <w:sz w:val="19"/>
          <w:szCs w:val="19"/>
        </w:rPr>
        <w:t>Sieć szlaków turystycznych</w:t>
      </w:r>
      <w:r w:rsidRPr="00AE35C1">
        <w:rPr>
          <w:sz w:val="19"/>
          <w:szCs w:val="19"/>
        </w:rPr>
        <w:t xml:space="preserve"> liczyła w 2016 roku 6 931 km długości i stanowiła 8,7 % zasobów krajowych, plasując region na 3. miejscu w Polsce. W latach 2011-2016 odnotowano wzrost długości szlaków o 814,9 km (o 11,7%).</w:t>
      </w:r>
    </w:p>
    <w:p w:rsidR="00A8645C" w:rsidRDefault="00A8645C" w:rsidP="00F84E12">
      <w:pPr>
        <w:spacing w:before="60" w:after="60" w:line="288" w:lineRule="auto"/>
        <w:jc w:val="center"/>
        <w:rPr>
          <w:b/>
          <w:color w:val="000000"/>
          <w:sz w:val="18"/>
          <w:szCs w:val="18"/>
        </w:rPr>
        <w:sectPr w:rsidR="00A8645C" w:rsidSect="00A8645C">
          <w:footerReference w:type="first" r:id="rId23"/>
          <w:pgSz w:w="11906" w:h="16838"/>
          <w:pgMar w:top="1418" w:right="1276" w:bottom="1134" w:left="1418" w:header="709" w:footer="709" w:gutter="0"/>
          <w:cols w:num="2" w:space="454"/>
          <w:titlePg/>
          <w:docGrid w:linePitch="360"/>
        </w:sectPr>
      </w:pPr>
    </w:p>
    <w:tbl>
      <w:tblPr>
        <w:tblpPr w:leftFromText="141" w:rightFromText="141" w:vertAnchor="text" w:horzAnchor="margin" w:tblpY="-148"/>
        <w:tblW w:w="5001" w:type="pct"/>
        <w:tblBorders>
          <w:insideH w:val="single" w:sz="18" w:space="0" w:color="FFFFFF"/>
          <w:insideV w:val="single" w:sz="18" w:space="0" w:color="FFFFFF"/>
        </w:tblBorders>
        <w:tblLook w:val="04A0"/>
      </w:tblPr>
      <w:tblGrid>
        <w:gridCol w:w="4498"/>
        <w:gridCol w:w="4932"/>
      </w:tblGrid>
      <w:tr w:rsidR="00A8645C" w:rsidRPr="00AE35C1" w:rsidTr="00A8645C">
        <w:trPr>
          <w:tblHeader/>
        </w:trPr>
        <w:tc>
          <w:tcPr>
            <w:tcW w:w="2385" w:type="pct"/>
            <w:shd w:val="clear" w:color="auto" w:fill="F2F2F2"/>
          </w:tcPr>
          <w:p w:rsidR="00A8645C" w:rsidRPr="00AE35C1" w:rsidRDefault="00A8645C" w:rsidP="00A8645C">
            <w:pPr>
              <w:spacing w:before="60" w:after="60" w:line="288" w:lineRule="auto"/>
              <w:jc w:val="center"/>
              <w:rPr>
                <w:b/>
                <w:color w:val="000000"/>
                <w:sz w:val="18"/>
                <w:szCs w:val="18"/>
              </w:rPr>
            </w:pPr>
            <w:bookmarkStart w:id="21" w:name="_Toc499582762"/>
            <w:bookmarkStart w:id="22" w:name="_Toc511716306"/>
            <w:r w:rsidRPr="00AE35C1">
              <w:rPr>
                <w:b/>
                <w:color w:val="000000"/>
                <w:sz w:val="18"/>
                <w:szCs w:val="18"/>
              </w:rPr>
              <w:lastRenderedPageBreak/>
              <w:t>MOCNE STRONY</w:t>
            </w:r>
          </w:p>
        </w:tc>
        <w:tc>
          <w:tcPr>
            <w:tcW w:w="2615" w:type="pct"/>
            <w:shd w:val="clear" w:color="auto" w:fill="F2F2F2"/>
          </w:tcPr>
          <w:p w:rsidR="00A8645C" w:rsidRPr="00AE35C1" w:rsidRDefault="00A8645C" w:rsidP="00A8645C">
            <w:pPr>
              <w:spacing w:before="60" w:after="60" w:line="288" w:lineRule="auto"/>
              <w:jc w:val="center"/>
              <w:rPr>
                <w:b/>
                <w:color w:val="000000"/>
                <w:sz w:val="18"/>
                <w:szCs w:val="18"/>
              </w:rPr>
            </w:pPr>
            <w:r w:rsidRPr="00AE35C1">
              <w:rPr>
                <w:b/>
                <w:color w:val="000000"/>
                <w:sz w:val="18"/>
                <w:szCs w:val="18"/>
              </w:rPr>
              <w:t>SŁABE STRONY</w:t>
            </w:r>
          </w:p>
        </w:tc>
      </w:tr>
      <w:tr w:rsidR="00A8645C" w:rsidRPr="00AE35C1" w:rsidTr="00A8645C">
        <w:tc>
          <w:tcPr>
            <w:tcW w:w="2385" w:type="pct"/>
            <w:shd w:val="clear" w:color="auto" w:fill="F2F2F2"/>
          </w:tcPr>
          <w:p w:rsidR="00A8645C" w:rsidRPr="00AE35C1" w:rsidRDefault="00A8645C" w:rsidP="00A8645C">
            <w:pPr>
              <w:pStyle w:val="Akapitzlist"/>
              <w:numPr>
                <w:ilvl w:val="0"/>
                <w:numId w:val="16"/>
              </w:numPr>
              <w:spacing w:before="60" w:after="60" w:line="288" w:lineRule="auto"/>
              <w:ind w:left="313" w:hanging="284"/>
              <w:rPr>
                <w:color w:val="000000"/>
                <w:sz w:val="17"/>
                <w:szCs w:val="17"/>
              </w:rPr>
            </w:pPr>
            <w:r w:rsidRPr="00AE35C1">
              <w:rPr>
                <w:color w:val="000000"/>
                <w:sz w:val="17"/>
                <w:szCs w:val="17"/>
              </w:rPr>
              <w:t>zróżnicowany i bogaty pod względem wartości kulturowych i przyrodniczych krajobraz regionu,</w:t>
            </w:r>
          </w:p>
          <w:p w:rsidR="00A8645C" w:rsidRPr="00AE35C1" w:rsidRDefault="00A8645C" w:rsidP="00A8645C">
            <w:pPr>
              <w:pStyle w:val="Akapitzlist"/>
              <w:numPr>
                <w:ilvl w:val="0"/>
                <w:numId w:val="16"/>
              </w:numPr>
              <w:spacing w:before="60" w:after="60" w:line="288" w:lineRule="auto"/>
              <w:ind w:left="313" w:hanging="284"/>
              <w:rPr>
                <w:color w:val="000000"/>
                <w:sz w:val="17"/>
                <w:szCs w:val="17"/>
              </w:rPr>
            </w:pPr>
            <w:r w:rsidRPr="00AE35C1">
              <w:rPr>
                <w:color w:val="000000"/>
                <w:sz w:val="17"/>
                <w:szCs w:val="17"/>
              </w:rPr>
              <w:t>różnorodność zachowanego dziedzictwa kulturowego, w tym duża liczba zabytków o wysokiej klasie artystycznej i znaczeniu historycznym (obiekty na liście UNESCO, pomniki historii, parki kulturowe),</w:t>
            </w:r>
          </w:p>
          <w:p w:rsidR="00A8645C" w:rsidRPr="00AE35C1" w:rsidRDefault="00A8645C" w:rsidP="00A8645C">
            <w:pPr>
              <w:pStyle w:val="Akapitzlist"/>
              <w:numPr>
                <w:ilvl w:val="0"/>
                <w:numId w:val="16"/>
              </w:numPr>
              <w:spacing w:before="60" w:after="60" w:line="288" w:lineRule="auto"/>
              <w:ind w:left="313" w:hanging="284"/>
              <w:rPr>
                <w:color w:val="000000"/>
                <w:sz w:val="17"/>
                <w:szCs w:val="17"/>
              </w:rPr>
            </w:pPr>
            <w:r w:rsidRPr="00AE35C1">
              <w:rPr>
                <w:color w:val="000000"/>
                <w:sz w:val="17"/>
                <w:szCs w:val="17"/>
              </w:rPr>
              <w:t>gęsta sieć miast o zachowanym historycznym układzie urbanistycznym i dużym nasyceniu obiektami zabytkowymi,</w:t>
            </w:r>
          </w:p>
          <w:p w:rsidR="00A8645C" w:rsidRPr="00AE35C1" w:rsidRDefault="00A8645C" w:rsidP="00A8645C">
            <w:pPr>
              <w:pStyle w:val="Akapitzlist"/>
              <w:numPr>
                <w:ilvl w:val="0"/>
                <w:numId w:val="16"/>
              </w:numPr>
              <w:spacing w:before="60" w:after="60" w:line="288" w:lineRule="auto"/>
              <w:ind w:left="313" w:hanging="284"/>
              <w:rPr>
                <w:color w:val="000000"/>
                <w:sz w:val="17"/>
                <w:szCs w:val="17"/>
              </w:rPr>
            </w:pPr>
            <w:r w:rsidRPr="00AE35C1">
              <w:rPr>
                <w:color w:val="000000"/>
                <w:sz w:val="17"/>
                <w:szCs w:val="17"/>
              </w:rPr>
              <w:t>największa w skali kraju liczba zabytków nieruchomych i archeologicznych wpisanych do rejestru zabytków,</w:t>
            </w:r>
          </w:p>
          <w:p w:rsidR="00A8645C" w:rsidRPr="00AE35C1" w:rsidRDefault="00A8645C" w:rsidP="00A8645C">
            <w:pPr>
              <w:pStyle w:val="Akapitzlist"/>
              <w:widowControl w:val="0"/>
              <w:numPr>
                <w:ilvl w:val="0"/>
                <w:numId w:val="28"/>
              </w:numPr>
              <w:autoSpaceDE w:val="0"/>
              <w:autoSpaceDN w:val="0"/>
              <w:adjustRightInd w:val="0"/>
              <w:spacing w:before="60" w:after="60" w:line="288" w:lineRule="auto"/>
              <w:ind w:left="313" w:hanging="284"/>
              <w:jc w:val="both"/>
              <w:rPr>
                <w:color w:val="000000"/>
                <w:sz w:val="17"/>
                <w:szCs w:val="17"/>
              </w:rPr>
            </w:pPr>
            <w:r w:rsidRPr="00AE35C1">
              <w:rPr>
                <w:color w:val="000000"/>
                <w:sz w:val="17"/>
                <w:szCs w:val="17"/>
              </w:rPr>
              <w:t>duża różnorodność typów tras turystycznych (piesze, rowerowe, wodne, konne, narciarskie, samochodowe),</w:t>
            </w:r>
          </w:p>
          <w:p w:rsidR="00A8645C" w:rsidRPr="00AE35C1" w:rsidRDefault="00A8645C" w:rsidP="00A8645C">
            <w:pPr>
              <w:pStyle w:val="Akapitzlist"/>
              <w:widowControl w:val="0"/>
              <w:numPr>
                <w:ilvl w:val="0"/>
                <w:numId w:val="28"/>
              </w:numPr>
              <w:autoSpaceDE w:val="0"/>
              <w:autoSpaceDN w:val="0"/>
              <w:adjustRightInd w:val="0"/>
              <w:spacing w:before="60" w:after="60" w:line="288" w:lineRule="auto"/>
              <w:ind w:left="313" w:hanging="284"/>
              <w:jc w:val="both"/>
              <w:rPr>
                <w:color w:val="000000"/>
                <w:sz w:val="17"/>
                <w:szCs w:val="17"/>
              </w:rPr>
            </w:pPr>
            <w:r w:rsidRPr="00AE35C1">
              <w:rPr>
                <w:color w:val="000000"/>
                <w:sz w:val="17"/>
                <w:szCs w:val="17"/>
              </w:rPr>
              <w:t>integracja tras turystycznych regionu z krajowymi i europejskimi systemami tras</w:t>
            </w:r>
            <w:r w:rsidRPr="00AE35C1">
              <w:rPr>
                <w:bCs/>
                <w:color w:val="000000"/>
                <w:sz w:val="17"/>
                <w:szCs w:val="17"/>
              </w:rPr>
              <w:t>.</w:t>
            </w:r>
          </w:p>
        </w:tc>
        <w:tc>
          <w:tcPr>
            <w:tcW w:w="2615" w:type="pct"/>
            <w:shd w:val="clear" w:color="auto" w:fill="F2F2F2"/>
          </w:tcPr>
          <w:p w:rsidR="00A8645C" w:rsidRPr="00AE35C1" w:rsidRDefault="00A8645C" w:rsidP="00A8645C">
            <w:pPr>
              <w:pStyle w:val="Akapitzlist"/>
              <w:numPr>
                <w:ilvl w:val="0"/>
                <w:numId w:val="16"/>
              </w:numPr>
              <w:spacing w:before="60" w:after="60" w:line="288" w:lineRule="auto"/>
              <w:ind w:left="306" w:hanging="306"/>
              <w:rPr>
                <w:color w:val="000000"/>
                <w:sz w:val="17"/>
                <w:szCs w:val="17"/>
              </w:rPr>
            </w:pPr>
            <w:r w:rsidRPr="00AE35C1">
              <w:rPr>
                <w:color w:val="000000"/>
                <w:sz w:val="17"/>
                <w:szCs w:val="17"/>
              </w:rPr>
              <w:t xml:space="preserve">postępujące negatywne przekształcenia historycznych układów przestrzennych miejscowości, związane z procesami urbanizacji oraz wprowadzaniem nowej zabudowy oderwanej od miejscowej tradycji budowlanej, </w:t>
            </w:r>
          </w:p>
          <w:p w:rsidR="00A8645C" w:rsidRPr="00AE35C1" w:rsidRDefault="00A8645C" w:rsidP="00A8645C">
            <w:pPr>
              <w:pStyle w:val="Akapitzlist"/>
              <w:numPr>
                <w:ilvl w:val="0"/>
                <w:numId w:val="27"/>
              </w:numPr>
              <w:spacing w:before="60" w:after="60" w:line="288" w:lineRule="auto"/>
              <w:ind w:left="306" w:hanging="306"/>
              <w:rPr>
                <w:color w:val="000000"/>
                <w:sz w:val="17"/>
                <w:szCs w:val="17"/>
              </w:rPr>
            </w:pPr>
            <w:r w:rsidRPr="00AE35C1">
              <w:rPr>
                <w:rFonts w:cs="Calibri"/>
                <w:color w:val="000000"/>
                <w:sz w:val="17"/>
                <w:szCs w:val="17"/>
              </w:rPr>
              <w:t>częste przykłady zacierania cech zabytkowych obiektów będące skutkiem modernizacji bez poszanowania znaczenia i wartości zabytków,</w:t>
            </w:r>
          </w:p>
          <w:p w:rsidR="00A8645C" w:rsidRPr="00AE35C1" w:rsidRDefault="00A8645C" w:rsidP="00A8645C">
            <w:pPr>
              <w:pStyle w:val="Akapitzlist"/>
              <w:numPr>
                <w:ilvl w:val="0"/>
                <w:numId w:val="27"/>
              </w:numPr>
              <w:spacing w:before="60" w:after="60" w:line="288" w:lineRule="auto"/>
              <w:ind w:left="306" w:hanging="306"/>
              <w:rPr>
                <w:color w:val="000000"/>
                <w:sz w:val="17"/>
                <w:szCs w:val="17"/>
              </w:rPr>
            </w:pPr>
            <w:r w:rsidRPr="00AE35C1">
              <w:rPr>
                <w:color w:val="000000"/>
                <w:sz w:val="17"/>
                <w:szCs w:val="17"/>
              </w:rPr>
              <w:t>znaczna lub całkowita dewastacja obiektów przemysłowych i kolejowych spowodowana ich długotrwałym nieużytkowaniem,</w:t>
            </w:r>
          </w:p>
          <w:p w:rsidR="00A8645C" w:rsidRPr="00AE35C1" w:rsidRDefault="00A8645C" w:rsidP="00A8645C">
            <w:pPr>
              <w:pStyle w:val="Akapitzlist"/>
              <w:numPr>
                <w:ilvl w:val="0"/>
                <w:numId w:val="29"/>
              </w:numPr>
              <w:spacing w:before="60" w:after="60" w:line="288" w:lineRule="auto"/>
              <w:ind w:left="306" w:hanging="306"/>
              <w:rPr>
                <w:color w:val="000000"/>
                <w:sz w:val="17"/>
                <w:szCs w:val="17"/>
              </w:rPr>
            </w:pPr>
            <w:r w:rsidRPr="00AE35C1">
              <w:rPr>
                <w:color w:val="000000"/>
                <w:sz w:val="17"/>
                <w:szCs w:val="17"/>
              </w:rPr>
              <w:t>dekapitalizacja infrastruktury uzdrowiskowej,</w:t>
            </w:r>
          </w:p>
          <w:p w:rsidR="00A8645C" w:rsidRPr="00AE35C1" w:rsidRDefault="00A8645C" w:rsidP="00A8645C">
            <w:pPr>
              <w:pStyle w:val="Akapitzlist"/>
              <w:widowControl w:val="0"/>
              <w:numPr>
                <w:ilvl w:val="0"/>
                <w:numId w:val="26"/>
              </w:numPr>
              <w:autoSpaceDE w:val="0"/>
              <w:autoSpaceDN w:val="0"/>
              <w:adjustRightInd w:val="0"/>
              <w:spacing w:before="60" w:after="60" w:line="288" w:lineRule="auto"/>
              <w:ind w:left="306" w:hanging="306"/>
              <w:jc w:val="both"/>
              <w:rPr>
                <w:color w:val="000000"/>
                <w:sz w:val="17"/>
                <w:szCs w:val="17"/>
              </w:rPr>
            </w:pPr>
            <w:r w:rsidRPr="00AE35C1">
              <w:rPr>
                <w:color w:val="000000"/>
                <w:sz w:val="17"/>
                <w:szCs w:val="17"/>
              </w:rPr>
              <w:t>niespójność systemu szlaków turystycznych w obszarze województwa,</w:t>
            </w:r>
          </w:p>
          <w:p w:rsidR="00A8645C" w:rsidRPr="00AE35C1" w:rsidRDefault="00A8645C" w:rsidP="00A8645C">
            <w:pPr>
              <w:pStyle w:val="Akapitzlist"/>
              <w:widowControl w:val="0"/>
              <w:numPr>
                <w:ilvl w:val="0"/>
                <w:numId w:val="26"/>
              </w:numPr>
              <w:autoSpaceDE w:val="0"/>
              <w:autoSpaceDN w:val="0"/>
              <w:adjustRightInd w:val="0"/>
              <w:spacing w:before="60" w:after="60" w:line="288" w:lineRule="auto"/>
              <w:ind w:left="306" w:hanging="306"/>
              <w:jc w:val="both"/>
              <w:rPr>
                <w:color w:val="000000"/>
                <w:sz w:val="17"/>
                <w:szCs w:val="17"/>
              </w:rPr>
            </w:pPr>
            <w:r w:rsidRPr="00AE35C1">
              <w:rPr>
                <w:color w:val="000000"/>
                <w:sz w:val="17"/>
                <w:szCs w:val="17"/>
              </w:rPr>
              <w:t>niski standard wyposażenia w infrastrukturę towarzyszącą oraz pogarszający się stan techniczny tras turystycznych.</w:t>
            </w:r>
          </w:p>
        </w:tc>
      </w:tr>
    </w:tbl>
    <w:p w:rsidR="000C6BE4" w:rsidRPr="00AE35C1" w:rsidRDefault="000C6BE4" w:rsidP="00770CED">
      <w:pPr>
        <w:pStyle w:val="Nagwek2"/>
        <w:numPr>
          <w:ilvl w:val="1"/>
          <w:numId w:val="59"/>
        </w:numPr>
        <w:spacing w:before="300"/>
        <w:ind w:left="567" w:hanging="567"/>
      </w:pPr>
      <w:r w:rsidRPr="00AE35C1">
        <w:t>SFERA SPOŁECZNA</w:t>
      </w:r>
      <w:bookmarkEnd w:id="21"/>
      <w:bookmarkEnd w:id="22"/>
    </w:p>
    <w:p w:rsidR="000C6BE4" w:rsidRPr="00AE35C1" w:rsidRDefault="000C6BE4" w:rsidP="005F49A2">
      <w:pPr>
        <w:pStyle w:val="TEKST"/>
        <w:rPr>
          <w:szCs w:val="19"/>
        </w:rPr>
        <w:sectPr w:rsidR="000C6BE4" w:rsidRPr="00AE35C1" w:rsidSect="00A8645C">
          <w:type w:val="continuous"/>
          <w:pgSz w:w="11906" w:h="16838"/>
          <w:pgMar w:top="1418" w:right="1276" w:bottom="1134" w:left="1418" w:header="709" w:footer="709" w:gutter="0"/>
          <w:cols w:space="454"/>
          <w:titlePg/>
          <w:docGrid w:linePitch="360"/>
        </w:sectPr>
      </w:pPr>
    </w:p>
    <w:p w:rsidR="000C6BE4" w:rsidRPr="00AE35C1" w:rsidRDefault="000C6BE4" w:rsidP="00814A82">
      <w:pPr>
        <w:pStyle w:val="Nagwek3"/>
      </w:pPr>
      <w:bookmarkStart w:id="23" w:name="_Toc499582763"/>
      <w:bookmarkStart w:id="24" w:name="_Toc511716307"/>
      <w:r w:rsidRPr="00AE35C1">
        <w:lastRenderedPageBreak/>
        <w:t>STRUKTURA FUNKCJONALNO-PRZESTRZENNA</w:t>
      </w:r>
      <w:bookmarkEnd w:id="23"/>
      <w:bookmarkEnd w:id="24"/>
    </w:p>
    <w:p w:rsidR="000C6BE4" w:rsidRPr="00AE35C1" w:rsidRDefault="000C6BE4" w:rsidP="005F49A2">
      <w:pPr>
        <w:pStyle w:val="TEKST"/>
        <w:spacing w:after="0"/>
        <w:rPr>
          <w:sz w:val="19"/>
          <w:szCs w:val="19"/>
        </w:rPr>
      </w:pPr>
      <w:r w:rsidRPr="00AE35C1">
        <w:rPr>
          <w:sz w:val="19"/>
          <w:szCs w:val="19"/>
        </w:rPr>
        <w:t xml:space="preserve">Województwo dolnośląskie jest </w:t>
      </w:r>
      <w:r w:rsidR="00343769" w:rsidRPr="00AE35C1">
        <w:rPr>
          <w:sz w:val="19"/>
          <w:szCs w:val="19"/>
        </w:rPr>
        <w:t xml:space="preserve">drugim pod względem poziomu urbanizacji </w:t>
      </w:r>
      <w:r w:rsidRPr="00AE35C1">
        <w:rPr>
          <w:sz w:val="19"/>
          <w:szCs w:val="19"/>
        </w:rPr>
        <w:t>województw</w:t>
      </w:r>
      <w:r w:rsidR="00343769" w:rsidRPr="00AE35C1">
        <w:rPr>
          <w:sz w:val="19"/>
          <w:szCs w:val="19"/>
        </w:rPr>
        <w:t>em</w:t>
      </w:r>
      <w:r w:rsidRPr="00AE35C1">
        <w:rPr>
          <w:sz w:val="19"/>
          <w:szCs w:val="19"/>
        </w:rPr>
        <w:t xml:space="preserve"> w Polsce. Jego </w:t>
      </w:r>
      <w:r w:rsidRPr="00AE35C1">
        <w:rPr>
          <w:b/>
          <w:sz w:val="19"/>
          <w:szCs w:val="19"/>
        </w:rPr>
        <w:t>sieć osadniczą</w:t>
      </w:r>
      <w:r w:rsidRPr="00AE35C1">
        <w:rPr>
          <w:sz w:val="19"/>
          <w:szCs w:val="19"/>
        </w:rPr>
        <w:t xml:space="preserve"> tworzy 91 miast (z przewagą ośrodków małych i bardzo małych), w tym 4 na prawach powiatu (Wrocław, Legnica, Jelenia Góra oraz Wałbrzych) oraz 2 35</w:t>
      </w:r>
      <w:r w:rsidR="00343769" w:rsidRPr="00AE35C1">
        <w:rPr>
          <w:sz w:val="19"/>
          <w:szCs w:val="19"/>
        </w:rPr>
        <w:t>8</w:t>
      </w:r>
      <w:r w:rsidRPr="00AE35C1">
        <w:rPr>
          <w:sz w:val="19"/>
          <w:szCs w:val="19"/>
        </w:rPr>
        <w:t xml:space="preserve"> miejscowości wiejski</w:t>
      </w:r>
      <w:r w:rsidR="00ED03B0" w:rsidRPr="00AE35C1">
        <w:rPr>
          <w:sz w:val="19"/>
          <w:szCs w:val="19"/>
        </w:rPr>
        <w:t>ch</w:t>
      </w:r>
      <w:r w:rsidRPr="00AE35C1">
        <w:rPr>
          <w:sz w:val="19"/>
          <w:szCs w:val="19"/>
        </w:rPr>
        <w:t xml:space="preserve">. </w:t>
      </w:r>
      <w:r w:rsidR="009D6169">
        <w:rPr>
          <w:sz w:val="19"/>
          <w:szCs w:val="19"/>
        </w:rPr>
        <w:t> ostatnich latach wiodąca pozycja Wrocławia umacnia się, przy jednocześnie słabnącej pozycji byłych ośrodków wojewódzkich (Jeleniej Góry, Legnicy i Wałbrzycha) oraz wielu innych ośrodków miejskich.</w:t>
      </w:r>
    </w:p>
    <w:p w:rsidR="000C6BE4" w:rsidRPr="00AE35C1" w:rsidRDefault="000C6BE4" w:rsidP="001E71C6">
      <w:pPr>
        <w:pStyle w:val="MAPA"/>
        <w:spacing w:before="300" w:line="288" w:lineRule="auto"/>
        <w:jc w:val="both"/>
      </w:pPr>
      <w:bookmarkStart w:id="25" w:name="_Toc495922939"/>
      <w:r w:rsidRPr="00AE35C1">
        <w:t xml:space="preserve">MAPA </w:t>
      </w:r>
      <w:r w:rsidR="004964B3">
        <w:t>6</w:t>
      </w:r>
      <w:r w:rsidRPr="00AE35C1">
        <w:t>. Miejska sieć osadnicza w podziale administracyjnym województwa dolnośląskiego</w:t>
      </w:r>
      <w:bookmarkEnd w:id="25"/>
      <w:r w:rsidRPr="00AE35C1">
        <w:t xml:space="preserve"> [2016].</w:t>
      </w:r>
    </w:p>
    <w:p w:rsidR="000C6BE4" w:rsidRPr="00AE35C1" w:rsidRDefault="0055701D" w:rsidP="005F49A2">
      <w:pPr>
        <w:pStyle w:val="TEKST"/>
        <w:spacing w:after="0"/>
        <w:rPr>
          <w:sz w:val="19"/>
          <w:szCs w:val="19"/>
        </w:rPr>
      </w:pPr>
      <w:r>
        <w:rPr>
          <w:noProof/>
          <w:sz w:val="19"/>
          <w:szCs w:val="19"/>
          <w:lang w:eastAsia="pl-PL"/>
        </w:rPr>
        <w:drawing>
          <wp:anchor distT="0" distB="0" distL="114300" distR="114300" simplePos="0" relativeHeight="251656192" behindDoc="0" locked="0" layoutInCell="1" allowOverlap="1">
            <wp:simplePos x="0" y="0"/>
            <wp:positionH relativeFrom="column">
              <wp:posOffset>2128520</wp:posOffset>
            </wp:positionH>
            <wp:positionV relativeFrom="paragraph">
              <wp:posOffset>1791335</wp:posOffset>
            </wp:positionV>
            <wp:extent cx="755650" cy="776605"/>
            <wp:effectExtent l="19050" t="0" r="6350" b="0"/>
            <wp:wrapNone/>
            <wp:docPr id="63" name="Obraz 30" descr="P:\ PROJEKTY 2017\09 SRWD 2030\04_Grafika\jpg\F_admin_miast_wg_liczby_ludnosci_241117_leg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descr="P:\ PROJEKTY 2017\09 SRWD 2030\04_Grafika\jpg\F_admin_miast_wg_liczby_ludnosci_241117_legenda.jpg"/>
                    <pic:cNvPicPr>
                      <a:picLocks noChangeAspect="1" noChangeArrowheads="1"/>
                    </pic:cNvPicPr>
                  </pic:nvPicPr>
                  <pic:blipFill>
                    <a:blip r:embed="rId24" cstate="print"/>
                    <a:srcRect l="75098" t="70836" r="3111" b="5222"/>
                    <a:stretch>
                      <a:fillRect/>
                    </a:stretch>
                  </pic:blipFill>
                  <pic:spPr bwMode="auto">
                    <a:xfrm>
                      <a:off x="0" y="0"/>
                      <a:ext cx="755650" cy="776605"/>
                    </a:xfrm>
                    <a:prstGeom prst="rect">
                      <a:avLst/>
                    </a:prstGeom>
                    <a:noFill/>
                    <a:ln w="9525">
                      <a:noFill/>
                      <a:miter lim="800000"/>
                      <a:headEnd/>
                      <a:tailEnd/>
                    </a:ln>
                  </pic:spPr>
                </pic:pic>
              </a:graphicData>
            </a:graphic>
          </wp:anchor>
        </w:drawing>
      </w:r>
      <w:r>
        <w:rPr>
          <w:noProof/>
          <w:sz w:val="19"/>
          <w:szCs w:val="19"/>
          <w:lang w:eastAsia="pl-PL"/>
        </w:rPr>
        <w:drawing>
          <wp:anchor distT="0" distB="0" distL="114300" distR="114300" simplePos="0" relativeHeight="251655168" behindDoc="0" locked="0" layoutInCell="1" allowOverlap="1">
            <wp:simplePos x="0" y="0"/>
            <wp:positionH relativeFrom="column">
              <wp:posOffset>10795</wp:posOffset>
            </wp:positionH>
            <wp:positionV relativeFrom="paragraph">
              <wp:posOffset>1691640</wp:posOffset>
            </wp:positionV>
            <wp:extent cx="925830" cy="840105"/>
            <wp:effectExtent l="19050" t="0" r="7620" b="0"/>
            <wp:wrapNone/>
            <wp:docPr id="62" name="Obraz 29" descr="P:\ PROJEKTY 2017\09 SRWD 2030\04_Grafika\jpg\F_admin_miast_wg_liczby_ludnosci_241117_leg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P:\ PROJEKTY 2017\09 SRWD 2030\04_Grafika\jpg\F_admin_miast_wg_liczby_ludnosci_241117_legenda.jpg"/>
                    <pic:cNvPicPr>
                      <a:picLocks noChangeAspect="1" noChangeArrowheads="1"/>
                    </pic:cNvPicPr>
                  </pic:nvPicPr>
                  <pic:blipFill>
                    <a:blip r:embed="rId25" cstate="print"/>
                    <a:srcRect l="2304" t="66074" r="66263" b="3435"/>
                    <a:stretch>
                      <a:fillRect/>
                    </a:stretch>
                  </pic:blipFill>
                  <pic:spPr bwMode="auto">
                    <a:xfrm>
                      <a:off x="0" y="0"/>
                      <a:ext cx="925830" cy="840105"/>
                    </a:xfrm>
                    <a:prstGeom prst="rect">
                      <a:avLst/>
                    </a:prstGeom>
                    <a:noFill/>
                    <a:ln w="9525">
                      <a:noFill/>
                      <a:miter lim="800000"/>
                      <a:headEnd/>
                      <a:tailEnd/>
                    </a:ln>
                  </pic:spPr>
                </pic:pic>
              </a:graphicData>
            </a:graphic>
          </wp:anchor>
        </w:drawing>
      </w:r>
      <w:r>
        <w:rPr>
          <w:noProof/>
          <w:sz w:val="19"/>
          <w:szCs w:val="19"/>
          <w:lang w:eastAsia="pl-PL"/>
        </w:rPr>
        <w:drawing>
          <wp:inline distT="0" distB="0" distL="0" distR="0">
            <wp:extent cx="2714625" cy="2524125"/>
            <wp:effectExtent l="19050" t="0" r="9525" b="0"/>
            <wp:docPr id="53" name="Obraz 28" descr="P:\ PROJEKTY 2017\09 SRWD 2030\04_Grafika\jpg\F_admin_miast_wg_liczby_ludnosci_241117_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descr="P:\ PROJEKTY 2017\09 SRWD 2030\04_Grafika\jpg\F_admin_miast_wg_liczby_ludnosci_241117_mapa.jpg"/>
                    <pic:cNvPicPr>
                      <a:picLocks noChangeAspect="1" noChangeArrowheads="1"/>
                    </pic:cNvPicPr>
                  </pic:nvPicPr>
                  <pic:blipFill>
                    <a:blip r:embed="rId26" cstate="print"/>
                    <a:srcRect l="1189" t="1343" r="1100" b="1445"/>
                    <a:stretch>
                      <a:fillRect/>
                    </a:stretch>
                  </pic:blipFill>
                  <pic:spPr bwMode="auto">
                    <a:xfrm>
                      <a:off x="0" y="0"/>
                      <a:ext cx="2714625" cy="2524125"/>
                    </a:xfrm>
                    <a:prstGeom prst="rect">
                      <a:avLst/>
                    </a:prstGeom>
                    <a:noFill/>
                    <a:ln w="9525">
                      <a:noFill/>
                      <a:miter lim="800000"/>
                      <a:headEnd/>
                      <a:tailEnd/>
                    </a:ln>
                  </pic:spPr>
                </pic:pic>
              </a:graphicData>
            </a:graphic>
          </wp:inline>
        </w:drawing>
      </w:r>
      <w:r w:rsidR="000C6BE4" w:rsidRPr="00AE35C1">
        <w:rPr>
          <w:rFonts w:ascii="Times New Roman" w:hAnsi="Times New Roman"/>
          <w:snapToGrid w:val="0"/>
          <w:w w:val="0"/>
          <w:sz w:val="0"/>
          <w:szCs w:val="0"/>
          <w:u w:color="000000"/>
          <w:bdr w:val="none" w:sz="0" w:space="0" w:color="000000"/>
          <w:shd w:val="clear" w:color="000000" w:fill="000000"/>
        </w:rPr>
        <w:t xml:space="preserve"> </w:t>
      </w:r>
    </w:p>
    <w:p w:rsidR="000C6BE4" w:rsidRPr="00AE35C1" w:rsidRDefault="000C6BE4" w:rsidP="005F49A2">
      <w:pPr>
        <w:pStyle w:val="RDO"/>
        <w:spacing w:line="288" w:lineRule="auto"/>
        <w:rPr>
          <w:rFonts w:eastAsia="Calibri"/>
          <w:color w:val="000000"/>
          <w:sz w:val="19"/>
          <w:szCs w:val="19"/>
        </w:rPr>
      </w:pPr>
      <w:r w:rsidRPr="00AE35C1">
        <w:rPr>
          <w:color w:val="000000"/>
        </w:rPr>
        <w:t>Źródło: opracowanie własne.</w:t>
      </w:r>
    </w:p>
    <w:p w:rsidR="00A8645C" w:rsidRPr="00AE35C1" w:rsidRDefault="00C56ECD" w:rsidP="00A8645C">
      <w:pPr>
        <w:pStyle w:val="TEKST"/>
        <w:spacing w:after="0"/>
        <w:rPr>
          <w:sz w:val="19"/>
          <w:szCs w:val="19"/>
        </w:rPr>
      </w:pPr>
      <w:r w:rsidRPr="00AE35C1">
        <w:rPr>
          <w:sz w:val="19"/>
          <w:szCs w:val="19"/>
        </w:rPr>
        <w:br w:type="column"/>
      </w:r>
      <w:r w:rsidR="000C6BE4" w:rsidRPr="00AE35C1">
        <w:rPr>
          <w:sz w:val="19"/>
          <w:szCs w:val="19"/>
        </w:rPr>
        <w:lastRenderedPageBreak/>
        <w:t xml:space="preserve">W województwie obserwuje się w ostatnich latach stały spadek </w:t>
      </w:r>
      <w:r w:rsidR="000C6BE4" w:rsidRPr="00AE35C1">
        <w:rPr>
          <w:b/>
          <w:sz w:val="19"/>
          <w:szCs w:val="19"/>
        </w:rPr>
        <w:t>liczby mieszkańców</w:t>
      </w:r>
      <w:r w:rsidR="00172485" w:rsidRPr="00AE35C1">
        <w:rPr>
          <w:b/>
          <w:sz w:val="19"/>
          <w:szCs w:val="19"/>
        </w:rPr>
        <w:t xml:space="preserve"> </w:t>
      </w:r>
      <w:r w:rsidR="00172485" w:rsidRPr="00AE35C1">
        <w:rPr>
          <w:sz w:val="19"/>
          <w:szCs w:val="19"/>
        </w:rPr>
        <w:t>ośrodków miejskich</w:t>
      </w:r>
      <w:r w:rsidR="000C6BE4" w:rsidRPr="00AE35C1">
        <w:rPr>
          <w:sz w:val="19"/>
          <w:szCs w:val="19"/>
        </w:rPr>
        <w:t xml:space="preserve">, który dotyczy 81 spośród 91 miast. W latach 2010-2016 największy ubytek liczby mieszkańców (powyżej 6%) miał miejsce w miastach obszaru Sudetów. Największy przyrost liczby mieszkańców odnotowuje się w małych </w:t>
      </w:r>
      <w:r w:rsidR="00172485" w:rsidRPr="00AE35C1">
        <w:rPr>
          <w:sz w:val="19"/>
          <w:szCs w:val="19"/>
        </w:rPr>
        <w:t xml:space="preserve">ośrodkach miejskich </w:t>
      </w:r>
      <w:r w:rsidR="000C6BE4" w:rsidRPr="00AE35C1">
        <w:rPr>
          <w:sz w:val="19"/>
          <w:szCs w:val="19"/>
        </w:rPr>
        <w:t>(tj. Siechnice i Kąty Wrocławskie). Spadek liczby mieszkańców miast przy jednoczesnym wzroście liczby mieszkańców wsi</w:t>
      </w:r>
      <w:r w:rsidR="00542530" w:rsidRPr="00AE35C1">
        <w:rPr>
          <w:sz w:val="19"/>
          <w:szCs w:val="19"/>
        </w:rPr>
        <w:t xml:space="preserve"> (szczególnie podmiejskich)</w:t>
      </w:r>
      <w:r w:rsidR="000C6BE4" w:rsidRPr="00AE35C1">
        <w:rPr>
          <w:sz w:val="19"/>
          <w:szCs w:val="19"/>
        </w:rPr>
        <w:t>, ma przełożenie na coraz niższy poziom urbanizacji</w:t>
      </w:r>
      <w:r w:rsidR="00A8645C">
        <w:rPr>
          <w:sz w:val="19"/>
          <w:szCs w:val="19"/>
        </w:rPr>
        <w:t xml:space="preserve"> </w:t>
      </w:r>
      <w:r w:rsidR="00A8645C" w:rsidRPr="00AE35C1">
        <w:rPr>
          <w:sz w:val="19"/>
          <w:szCs w:val="19"/>
        </w:rPr>
        <w:t xml:space="preserve">w województwie. </w:t>
      </w:r>
    </w:p>
    <w:p w:rsidR="000C6BE4" w:rsidRPr="00AE35C1" w:rsidRDefault="000C6BE4" w:rsidP="005F49A2">
      <w:pPr>
        <w:pStyle w:val="TEKST"/>
        <w:spacing w:after="0"/>
        <w:rPr>
          <w:sz w:val="19"/>
          <w:szCs w:val="19"/>
        </w:rPr>
      </w:pPr>
      <w:r w:rsidRPr="00AE35C1">
        <w:rPr>
          <w:sz w:val="19"/>
          <w:szCs w:val="19"/>
        </w:rPr>
        <w:t>Problematyka miejska zajmuje ważną pozycję w polityce regionu. W latach 2010-2016 na Dolnym Śląsku zrealizowano 25% wszystkich projektów rewitalizacji dofinansowanych w ramach regionalnych programów operacyjnych w Polsce.</w:t>
      </w:r>
    </w:p>
    <w:p w:rsidR="000C6BE4" w:rsidRPr="00AE35C1" w:rsidRDefault="000C6BE4" w:rsidP="005F49A2">
      <w:pPr>
        <w:pStyle w:val="TEKST"/>
        <w:spacing w:after="0"/>
        <w:rPr>
          <w:sz w:val="19"/>
          <w:szCs w:val="19"/>
        </w:rPr>
      </w:pPr>
      <w:r w:rsidRPr="00AE35C1">
        <w:rPr>
          <w:sz w:val="19"/>
          <w:szCs w:val="19"/>
        </w:rPr>
        <w:t>W odniesieniu do terenów niezurbanizowanych, w województwie wskazać można 4 główne strefy struktury funkcjonalno-przestrzennej: rolną w obrębie Niziny Środkowopolskiej, leśno-rolną w obrębie Niziny Sasko-Łużyckiej i Środkowopolskiej, rolną w obrębie Przedgórza Sudetów i Niziny Środkowopolskiej i leśno-rolną w obrębie Sudetów i Przedgórza Sudeckiego. Rejonem koncentracji terenów przemysłu pozostaje Legnicko-Głogowsk</w:t>
      </w:r>
      <w:r w:rsidR="008C19D4" w:rsidRPr="00AE35C1">
        <w:rPr>
          <w:sz w:val="19"/>
          <w:szCs w:val="19"/>
        </w:rPr>
        <w:t>i Okręg Miedziowy, Wrocław wraz </w:t>
      </w:r>
      <w:r w:rsidRPr="00AE35C1">
        <w:rPr>
          <w:sz w:val="19"/>
          <w:szCs w:val="19"/>
        </w:rPr>
        <w:t>z</w:t>
      </w:r>
      <w:r w:rsidR="0016085C" w:rsidRPr="00AE35C1">
        <w:rPr>
          <w:sz w:val="19"/>
          <w:szCs w:val="19"/>
        </w:rPr>
        <w:t> </w:t>
      </w:r>
      <w:r w:rsidRPr="00AE35C1">
        <w:rPr>
          <w:sz w:val="19"/>
          <w:szCs w:val="19"/>
        </w:rPr>
        <w:t>sąsiednimi gminami, Wałbrzych ze Świdnicą i</w:t>
      </w:r>
      <w:r w:rsidR="0016085C" w:rsidRPr="00AE35C1">
        <w:rPr>
          <w:sz w:val="19"/>
          <w:szCs w:val="19"/>
        </w:rPr>
        <w:t> </w:t>
      </w:r>
      <w:r w:rsidRPr="00AE35C1">
        <w:rPr>
          <w:sz w:val="19"/>
          <w:szCs w:val="19"/>
        </w:rPr>
        <w:t>Bolesławiec z Wartą Bolesławiecką. Największą koncentrację terenów mieszkaniowych wykazuje Wrocław wraz z otaczającymi go gminami, w drugiej kolejności (choć znacząco mniejszą) Jelenia Góra wraz z</w:t>
      </w:r>
      <w:r w:rsidR="0016085C" w:rsidRPr="00AE35C1">
        <w:rPr>
          <w:sz w:val="19"/>
          <w:szCs w:val="19"/>
        </w:rPr>
        <w:t> </w:t>
      </w:r>
      <w:r w:rsidRPr="00AE35C1">
        <w:rPr>
          <w:sz w:val="19"/>
          <w:szCs w:val="19"/>
        </w:rPr>
        <w:t>gminami sąsiadującymi oraz Wałbrzych wraz</w:t>
      </w:r>
      <w:r w:rsidR="00C56ECD" w:rsidRPr="00AE35C1">
        <w:rPr>
          <w:sz w:val="19"/>
          <w:szCs w:val="19"/>
        </w:rPr>
        <w:t xml:space="preserve"> </w:t>
      </w:r>
      <w:r w:rsidRPr="00AE35C1">
        <w:rPr>
          <w:sz w:val="19"/>
          <w:szCs w:val="19"/>
        </w:rPr>
        <w:t>z pobliskimi miastami.</w:t>
      </w:r>
    </w:p>
    <w:p w:rsidR="000C6BE4" w:rsidRPr="00AE35C1" w:rsidRDefault="000C6BE4" w:rsidP="005F49A2">
      <w:pPr>
        <w:spacing w:line="288" w:lineRule="auto"/>
        <w:rPr>
          <w:rFonts w:cs="Arial"/>
          <w:color w:val="404040"/>
          <w:sz w:val="18"/>
          <w:szCs w:val="20"/>
        </w:rPr>
      </w:pPr>
    </w:p>
    <w:p w:rsidR="000C6BE4" w:rsidRPr="00AE35C1" w:rsidRDefault="000C6BE4" w:rsidP="005F49A2">
      <w:pPr>
        <w:pStyle w:val="TEKST"/>
        <w:spacing w:after="0"/>
        <w:rPr>
          <w:sz w:val="19"/>
          <w:szCs w:val="19"/>
        </w:rPr>
        <w:sectPr w:rsidR="000C6BE4" w:rsidRPr="00AE35C1" w:rsidSect="00E73C96">
          <w:headerReference w:type="first" r:id="rId27"/>
          <w:footerReference w:type="first" r:id="rId28"/>
          <w:type w:val="continuous"/>
          <w:pgSz w:w="11906" w:h="16838"/>
          <w:pgMar w:top="1571" w:right="1276" w:bottom="1417" w:left="1417" w:header="708" w:footer="708" w:gutter="0"/>
          <w:cols w:num="2" w:space="329"/>
          <w:titlePg/>
          <w:docGrid w:linePitch="360"/>
        </w:sectPr>
      </w:pPr>
    </w:p>
    <w:tbl>
      <w:tblPr>
        <w:tblW w:w="9332"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shd w:val="clear" w:color="auto" w:fill="F2F2F2"/>
        <w:tblLook w:val="04A0"/>
      </w:tblPr>
      <w:tblGrid>
        <w:gridCol w:w="4513"/>
        <w:gridCol w:w="4819"/>
      </w:tblGrid>
      <w:tr w:rsidR="000C6BE4" w:rsidRPr="00AE35C1" w:rsidTr="0016085C">
        <w:trPr>
          <w:tblHeader/>
        </w:trPr>
        <w:tc>
          <w:tcPr>
            <w:tcW w:w="4513" w:type="dxa"/>
            <w:shd w:val="clear" w:color="auto" w:fill="F2F2F2"/>
          </w:tcPr>
          <w:p w:rsidR="000C6BE4" w:rsidRPr="00AE35C1" w:rsidRDefault="000C6BE4" w:rsidP="005F49A2">
            <w:pPr>
              <w:spacing w:before="60" w:after="60" w:line="288" w:lineRule="auto"/>
              <w:jc w:val="center"/>
              <w:rPr>
                <w:rFonts w:eastAsia="Times New Roman" w:cs="Arial"/>
                <w:b/>
                <w:caps/>
                <w:color w:val="000000"/>
                <w:sz w:val="18"/>
                <w:szCs w:val="18"/>
              </w:rPr>
            </w:pPr>
            <w:r w:rsidRPr="00AE35C1">
              <w:rPr>
                <w:rFonts w:eastAsia="Times New Roman" w:cs="Arial"/>
                <w:b/>
                <w:caps/>
                <w:color w:val="000000"/>
                <w:sz w:val="18"/>
                <w:szCs w:val="18"/>
              </w:rPr>
              <w:lastRenderedPageBreak/>
              <w:t>Mocne strony</w:t>
            </w:r>
          </w:p>
        </w:tc>
        <w:tc>
          <w:tcPr>
            <w:tcW w:w="4819" w:type="dxa"/>
            <w:shd w:val="clear" w:color="auto" w:fill="F2F2F2"/>
          </w:tcPr>
          <w:p w:rsidR="000C6BE4" w:rsidRPr="00AE35C1" w:rsidRDefault="000C6BE4" w:rsidP="005F49A2">
            <w:pPr>
              <w:spacing w:before="60" w:after="60" w:line="288" w:lineRule="auto"/>
              <w:jc w:val="center"/>
              <w:rPr>
                <w:rFonts w:eastAsia="Times New Roman" w:cs="Arial"/>
                <w:b/>
                <w:caps/>
                <w:color w:val="000000"/>
                <w:sz w:val="18"/>
                <w:szCs w:val="18"/>
              </w:rPr>
            </w:pPr>
            <w:r w:rsidRPr="00AE35C1">
              <w:rPr>
                <w:rFonts w:eastAsia="Times New Roman" w:cs="Arial"/>
                <w:b/>
                <w:caps/>
                <w:color w:val="000000"/>
                <w:sz w:val="18"/>
                <w:szCs w:val="18"/>
              </w:rPr>
              <w:t>Słabe strony</w:t>
            </w:r>
          </w:p>
        </w:tc>
      </w:tr>
      <w:tr w:rsidR="000C6BE4" w:rsidRPr="00AE35C1" w:rsidTr="0016085C">
        <w:tc>
          <w:tcPr>
            <w:tcW w:w="4513" w:type="dxa"/>
            <w:shd w:val="clear" w:color="auto" w:fill="F2F2F2"/>
          </w:tcPr>
          <w:p w:rsidR="000C6BE4" w:rsidRPr="00AE35C1" w:rsidRDefault="000C6BE4" w:rsidP="005F49A2">
            <w:pPr>
              <w:pStyle w:val="Akapitzlist"/>
              <w:numPr>
                <w:ilvl w:val="0"/>
                <w:numId w:val="23"/>
              </w:numPr>
              <w:spacing w:before="60" w:after="60" w:line="288" w:lineRule="auto"/>
              <w:ind w:left="313" w:hanging="284"/>
              <w:jc w:val="both"/>
              <w:rPr>
                <w:rFonts w:cs="Arial"/>
                <w:color w:val="000000"/>
                <w:sz w:val="17"/>
                <w:szCs w:val="17"/>
              </w:rPr>
            </w:pPr>
            <w:r w:rsidRPr="00AE35C1">
              <w:rPr>
                <w:rFonts w:cs="Arial"/>
                <w:color w:val="000000"/>
                <w:sz w:val="17"/>
                <w:szCs w:val="17"/>
              </w:rPr>
              <w:t xml:space="preserve">Wrocław </w:t>
            </w:r>
            <w:r w:rsidRPr="00AE35C1">
              <w:rPr>
                <w:color w:val="000000"/>
                <w:sz w:val="17"/>
                <w:szCs w:val="17"/>
              </w:rPr>
              <w:t>−</w:t>
            </w:r>
            <w:r w:rsidRPr="00AE35C1">
              <w:rPr>
                <w:rFonts w:cs="Arial"/>
                <w:color w:val="000000"/>
                <w:sz w:val="17"/>
                <w:szCs w:val="17"/>
              </w:rPr>
              <w:t xml:space="preserve"> rozwijający </w:t>
            </w:r>
            <w:r w:rsidRPr="00AE35C1">
              <w:rPr>
                <w:rFonts w:cs="Arial"/>
                <w:strike/>
                <w:color w:val="000000"/>
                <w:sz w:val="17"/>
                <w:szCs w:val="17"/>
              </w:rPr>
              <w:t>s</w:t>
            </w:r>
            <w:r w:rsidRPr="00AE35C1">
              <w:rPr>
                <w:rFonts w:cs="Arial"/>
                <w:color w:val="000000"/>
                <w:sz w:val="17"/>
                <w:szCs w:val="17"/>
              </w:rPr>
              <w:t xml:space="preserve">ię ośrodek metropolitalny, </w:t>
            </w:r>
          </w:p>
          <w:p w:rsidR="00053C57" w:rsidRPr="00AE35C1" w:rsidRDefault="00053C57" w:rsidP="005F49A2">
            <w:pPr>
              <w:pStyle w:val="Akapitzlist"/>
              <w:numPr>
                <w:ilvl w:val="0"/>
                <w:numId w:val="23"/>
              </w:numPr>
              <w:spacing w:before="60" w:after="60" w:line="288" w:lineRule="auto"/>
              <w:ind w:left="313" w:hanging="284"/>
              <w:jc w:val="both"/>
              <w:rPr>
                <w:rFonts w:cs="Arial"/>
                <w:color w:val="000000"/>
                <w:sz w:val="17"/>
                <w:szCs w:val="17"/>
              </w:rPr>
            </w:pPr>
            <w:r w:rsidRPr="00AE35C1">
              <w:rPr>
                <w:rFonts w:cs="Arial"/>
                <w:color w:val="000000"/>
                <w:sz w:val="17"/>
                <w:szCs w:val="17"/>
              </w:rPr>
              <w:t>Legnicko-Głogowski Okręg Miedziowy – silny ośrodek gosp</w:t>
            </w:r>
            <w:r w:rsidR="00B656C2" w:rsidRPr="00AE35C1">
              <w:rPr>
                <w:rFonts w:cs="Arial"/>
                <w:color w:val="000000"/>
                <w:sz w:val="17"/>
                <w:szCs w:val="17"/>
              </w:rPr>
              <w:t>o</w:t>
            </w:r>
            <w:r w:rsidRPr="00AE35C1">
              <w:rPr>
                <w:rFonts w:cs="Arial"/>
                <w:color w:val="000000"/>
                <w:sz w:val="17"/>
                <w:szCs w:val="17"/>
              </w:rPr>
              <w:t>darczy</w:t>
            </w:r>
          </w:p>
          <w:p w:rsidR="000C6BE4" w:rsidRPr="00AE35C1" w:rsidRDefault="000C6BE4" w:rsidP="005F49A2">
            <w:pPr>
              <w:pStyle w:val="Akapitzlist"/>
              <w:numPr>
                <w:ilvl w:val="0"/>
                <w:numId w:val="23"/>
              </w:numPr>
              <w:spacing w:before="60" w:after="60" w:line="288" w:lineRule="auto"/>
              <w:ind w:left="313" w:hanging="284"/>
              <w:jc w:val="both"/>
              <w:rPr>
                <w:rFonts w:cs="Arial"/>
                <w:color w:val="000000"/>
                <w:sz w:val="17"/>
                <w:szCs w:val="17"/>
              </w:rPr>
            </w:pPr>
            <w:r w:rsidRPr="00AE35C1">
              <w:rPr>
                <w:rFonts w:cs="Arial"/>
                <w:color w:val="000000"/>
                <w:sz w:val="17"/>
                <w:szCs w:val="17"/>
              </w:rPr>
              <w:t xml:space="preserve">duże ośrodki </w:t>
            </w:r>
            <w:r w:rsidR="00F84E12">
              <w:rPr>
                <w:rFonts w:cs="Arial"/>
                <w:color w:val="000000"/>
                <w:sz w:val="17"/>
                <w:szCs w:val="17"/>
              </w:rPr>
              <w:t xml:space="preserve">regionalne i </w:t>
            </w:r>
            <w:proofErr w:type="spellStart"/>
            <w:r w:rsidRPr="00AE35C1">
              <w:rPr>
                <w:rFonts w:cs="Arial"/>
                <w:color w:val="000000"/>
                <w:sz w:val="17"/>
                <w:szCs w:val="17"/>
              </w:rPr>
              <w:t>subregionalne</w:t>
            </w:r>
            <w:proofErr w:type="spellEnd"/>
            <w:r w:rsidRPr="00AE35C1">
              <w:rPr>
                <w:rFonts w:cs="Arial"/>
                <w:color w:val="000000"/>
                <w:sz w:val="17"/>
                <w:szCs w:val="17"/>
              </w:rPr>
              <w:t xml:space="preserve"> oraz znacząca liczba mniejszych miast, równoważących procesy rozwojowe województwa,</w:t>
            </w:r>
          </w:p>
          <w:p w:rsidR="000C6BE4" w:rsidRPr="00AE35C1" w:rsidRDefault="000C6BE4" w:rsidP="005F49A2">
            <w:pPr>
              <w:pStyle w:val="Akapitzlist"/>
              <w:numPr>
                <w:ilvl w:val="0"/>
                <w:numId w:val="22"/>
              </w:numPr>
              <w:spacing w:before="60" w:after="120" w:line="288" w:lineRule="auto"/>
              <w:ind w:left="313" w:hanging="284"/>
              <w:jc w:val="both"/>
              <w:rPr>
                <w:color w:val="000000"/>
                <w:sz w:val="17"/>
                <w:szCs w:val="17"/>
              </w:rPr>
            </w:pPr>
            <w:r w:rsidRPr="00AE35C1">
              <w:rPr>
                <w:rFonts w:cs="Arial"/>
                <w:color w:val="000000"/>
                <w:sz w:val="17"/>
                <w:szCs w:val="17"/>
              </w:rPr>
              <w:t>zawiązanie porozumień ZIT we Wrocławskim Obszarze Funkcjonalnym, Wałbrzyskim Obszarze Funkcjonalnym i Jeleniogórskim Obszarze Funkcjonalnym</w:t>
            </w:r>
            <w:r w:rsidRPr="00AE35C1">
              <w:rPr>
                <w:color w:val="000000"/>
                <w:sz w:val="17"/>
                <w:szCs w:val="17"/>
              </w:rPr>
              <w:t>.</w:t>
            </w:r>
          </w:p>
        </w:tc>
        <w:tc>
          <w:tcPr>
            <w:tcW w:w="4819" w:type="dxa"/>
            <w:shd w:val="clear" w:color="auto" w:fill="F2F2F2"/>
          </w:tcPr>
          <w:p w:rsidR="000C6BE4" w:rsidRPr="00AE35C1" w:rsidRDefault="000C6BE4" w:rsidP="005F49A2">
            <w:pPr>
              <w:pStyle w:val="Akapitzlist"/>
              <w:numPr>
                <w:ilvl w:val="0"/>
                <w:numId w:val="24"/>
              </w:numPr>
              <w:spacing w:before="60" w:after="60" w:line="288" w:lineRule="auto"/>
              <w:ind w:left="318" w:hanging="284"/>
              <w:jc w:val="both"/>
              <w:rPr>
                <w:rFonts w:cs="Arial"/>
                <w:color w:val="000000"/>
                <w:sz w:val="17"/>
                <w:szCs w:val="17"/>
              </w:rPr>
            </w:pPr>
            <w:r w:rsidRPr="00AE35C1">
              <w:rPr>
                <w:rFonts w:cs="Arial"/>
                <w:color w:val="000000"/>
                <w:sz w:val="17"/>
                <w:szCs w:val="17"/>
              </w:rPr>
              <w:t>pogłębiająca się dysproporcja rozwoju Wrocławia w porównaniu z innymi ośrodkami miejskimi będąca skutkiem postępującego procesu metropolizacji w regionie,</w:t>
            </w:r>
          </w:p>
          <w:p w:rsidR="002D199F" w:rsidRPr="00AE35C1" w:rsidRDefault="000C6BE4" w:rsidP="008C19D4">
            <w:pPr>
              <w:pStyle w:val="Akapitzlist"/>
              <w:numPr>
                <w:ilvl w:val="0"/>
                <w:numId w:val="24"/>
              </w:numPr>
              <w:spacing w:before="60" w:after="60" w:line="288" w:lineRule="auto"/>
              <w:ind w:left="318" w:hanging="284"/>
              <w:jc w:val="both"/>
              <w:rPr>
                <w:rFonts w:cs="Arial"/>
                <w:color w:val="000000"/>
                <w:sz w:val="17"/>
                <w:szCs w:val="17"/>
              </w:rPr>
            </w:pPr>
            <w:r w:rsidRPr="00AE35C1">
              <w:rPr>
                <w:rFonts w:cs="Arial"/>
                <w:color w:val="000000"/>
                <w:sz w:val="17"/>
                <w:szCs w:val="17"/>
              </w:rPr>
              <w:t xml:space="preserve">procesy niekontrolowanej </w:t>
            </w:r>
            <w:proofErr w:type="spellStart"/>
            <w:r w:rsidRPr="00AE35C1">
              <w:rPr>
                <w:rFonts w:cs="Arial"/>
                <w:color w:val="000000"/>
                <w:sz w:val="17"/>
                <w:szCs w:val="17"/>
              </w:rPr>
              <w:t>suburbanizacji</w:t>
            </w:r>
            <w:proofErr w:type="spellEnd"/>
            <w:r w:rsidRPr="00AE35C1">
              <w:rPr>
                <w:rFonts w:cs="Arial"/>
                <w:color w:val="000000"/>
                <w:sz w:val="17"/>
                <w:szCs w:val="17"/>
              </w:rPr>
              <w:t>, zwłaszcza w obszarze metropolitalnym Wrocławia i obszarach innych większych miast regionu (Jeleniej Góry</w:t>
            </w:r>
            <w:r w:rsidR="000B413B" w:rsidRPr="00AE35C1">
              <w:rPr>
                <w:rFonts w:cs="Arial"/>
                <w:color w:val="000000"/>
                <w:sz w:val="17"/>
                <w:szCs w:val="17"/>
              </w:rPr>
              <w:t xml:space="preserve"> i</w:t>
            </w:r>
            <w:r w:rsidRPr="00AE35C1">
              <w:rPr>
                <w:rFonts w:cs="Arial"/>
                <w:color w:val="000000"/>
                <w:sz w:val="17"/>
                <w:szCs w:val="17"/>
              </w:rPr>
              <w:t xml:space="preserve"> Legnicy),</w:t>
            </w:r>
          </w:p>
          <w:p w:rsidR="000C6BE4" w:rsidRPr="00AE35C1" w:rsidRDefault="000C6BE4" w:rsidP="008C19D4">
            <w:pPr>
              <w:pStyle w:val="Akapitzlist"/>
              <w:numPr>
                <w:ilvl w:val="0"/>
                <w:numId w:val="24"/>
              </w:numPr>
              <w:spacing w:before="60" w:after="60" w:line="288" w:lineRule="auto"/>
              <w:ind w:left="318" w:hanging="284"/>
              <w:jc w:val="both"/>
              <w:rPr>
                <w:rFonts w:cs="Arial"/>
                <w:color w:val="000000"/>
                <w:sz w:val="17"/>
                <w:szCs w:val="17"/>
              </w:rPr>
            </w:pPr>
            <w:r w:rsidRPr="00AE35C1">
              <w:rPr>
                <w:color w:val="000000"/>
                <w:sz w:val="17"/>
                <w:szCs w:val="17"/>
              </w:rPr>
              <w:t>wzrost</w:t>
            </w:r>
            <w:r w:rsidR="00B656C2" w:rsidRPr="00AE35C1">
              <w:rPr>
                <w:color w:val="000000"/>
                <w:sz w:val="17"/>
                <w:szCs w:val="17"/>
              </w:rPr>
              <w:t xml:space="preserve"> </w:t>
            </w:r>
            <w:r w:rsidRPr="00AE35C1">
              <w:rPr>
                <w:color w:val="000000"/>
                <w:sz w:val="17"/>
                <w:szCs w:val="17"/>
              </w:rPr>
              <w:t xml:space="preserve">udziału terenów zurbanizowanych i zabudowanych w gminach sąsiadujących z największymi ośrodkami w województwie dolnośląskim, kosztem przestrzeni rolniczej.  </w:t>
            </w:r>
          </w:p>
        </w:tc>
      </w:tr>
    </w:tbl>
    <w:p w:rsidR="000C6BE4" w:rsidRPr="00AE35C1" w:rsidRDefault="000C6BE4" w:rsidP="005F49A2">
      <w:pPr>
        <w:spacing w:after="0" w:line="288" w:lineRule="auto"/>
        <w:rPr>
          <w:sz w:val="8"/>
          <w:szCs w:val="8"/>
        </w:rPr>
      </w:pPr>
    </w:p>
    <w:p w:rsidR="000C6BE4" w:rsidRPr="00AE35C1" w:rsidRDefault="000C6BE4" w:rsidP="005F49A2">
      <w:pPr>
        <w:spacing w:after="0" w:line="288" w:lineRule="auto"/>
        <w:rPr>
          <w:sz w:val="8"/>
          <w:szCs w:val="8"/>
        </w:rPr>
        <w:sectPr w:rsidR="000C6BE4" w:rsidRPr="00AE35C1" w:rsidSect="00E73C96">
          <w:pgSz w:w="11906" w:h="16838"/>
          <w:pgMar w:top="1276" w:right="1276" w:bottom="1417" w:left="1417" w:header="708" w:footer="708" w:gutter="0"/>
          <w:cols w:space="708"/>
          <w:titlePg/>
          <w:docGrid w:linePitch="360"/>
        </w:sectPr>
      </w:pPr>
    </w:p>
    <w:p w:rsidR="000C6BE4" w:rsidRPr="00AE35C1" w:rsidRDefault="000C6BE4" w:rsidP="00814A82">
      <w:pPr>
        <w:pStyle w:val="Nagwek3"/>
      </w:pPr>
      <w:bookmarkStart w:id="26" w:name="_Toc499582764"/>
      <w:bookmarkStart w:id="27" w:name="_Toc511716308"/>
      <w:r w:rsidRPr="00AE35C1">
        <w:lastRenderedPageBreak/>
        <w:t>DEMOGRAFIA</w:t>
      </w:r>
      <w:bookmarkEnd w:id="26"/>
      <w:bookmarkEnd w:id="27"/>
    </w:p>
    <w:p w:rsidR="00940BAB" w:rsidRDefault="000C6BE4" w:rsidP="005F49A2">
      <w:pPr>
        <w:pStyle w:val="TEKST"/>
        <w:spacing w:after="0"/>
        <w:rPr>
          <w:sz w:val="19"/>
          <w:szCs w:val="19"/>
        </w:rPr>
      </w:pPr>
      <w:r w:rsidRPr="00AE35C1">
        <w:rPr>
          <w:sz w:val="19"/>
          <w:szCs w:val="19"/>
        </w:rPr>
        <w:t xml:space="preserve">Województwo dolnośląskie zamieszkiwało w 2016 roku 2 mln 903,7 tys. osób, co stanowiło 7,6% </w:t>
      </w:r>
      <w:r w:rsidRPr="00AE35C1">
        <w:rPr>
          <w:b/>
          <w:sz w:val="19"/>
          <w:szCs w:val="19"/>
        </w:rPr>
        <w:t>ludności</w:t>
      </w:r>
      <w:r w:rsidRPr="00AE35C1">
        <w:rPr>
          <w:sz w:val="19"/>
          <w:szCs w:val="19"/>
        </w:rPr>
        <w:t xml:space="preserve"> Polski, klasyfikując region na 5. miejscu w kraju pod względem zaludnienia. Nieco ponad połowę mieszkańców stanowiły kobiety (51,9% ludności regionu). </w:t>
      </w:r>
      <w:r w:rsidRPr="00AE35C1">
        <w:rPr>
          <w:b/>
          <w:sz w:val="19"/>
          <w:szCs w:val="19"/>
        </w:rPr>
        <w:t>Gęstość zaludnienia</w:t>
      </w:r>
      <w:r w:rsidRPr="00AE35C1">
        <w:rPr>
          <w:sz w:val="19"/>
          <w:szCs w:val="19"/>
        </w:rPr>
        <w:t xml:space="preserve"> na Dolnym Śląsku wynosiła 146 osoby na 1 km</w:t>
      </w:r>
      <w:r w:rsidRPr="00AE35C1">
        <w:rPr>
          <w:sz w:val="19"/>
          <w:szCs w:val="19"/>
          <w:vertAlign w:val="superscript"/>
        </w:rPr>
        <w:t>2</w:t>
      </w:r>
      <w:r w:rsidRPr="00AE35C1">
        <w:rPr>
          <w:sz w:val="19"/>
          <w:szCs w:val="19"/>
        </w:rPr>
        <w:t xml:space="preserve"> i była wyższa od średniej dla Pols</w:t>
      </w:r>
      <w:r w:rsidR="000666B0" w:rsidRPr="00AE35C1">
        <w:rPr>
          <w:sz w:val="19"/>
          <w:szCs w:val="19"/>
        </w:rPr>
        <w:t>ki (123), plasując region na 4. </w:t>
      </w:r>
      <w:r w:rsidRPr="00AE35C1">
        <w:rPr>
          <w:sz w:val="19"/>
          <w:szCs w:val="19"/>
        </w:rPr>
        <w:t>miejscu w Polsce. W porównaniu z regionami sąsiednimi województwo dolnośląskie wp</w:t>
      </w:r>
      <w:r w:rsidR="00435894" w:rsidRPr="00AE35C1">
        <w:rPr>
          <w:sz w:val="19"/>
          <w:szCs w:val="19"/>
        </w:rPr>
        <w:t>rawdzie było słabiej zaludnione</w:t>
      </w:r>
      <w:r w:rsidRPr="00AE35C1">
        <w:rPr>
          <w:sz w:val="19"/>
          <w:szCs w:val="19"/>
        </w:rPr>
        <w:t xml:space="preserve"> niż Saksonia (221), ale cechowało się wyższym zaludnieniem od pozostałych regionów: </w:t>
      </w:r>
      <w:proofErr w:type="spellStart"/>
      <w:r w:rsidRPr="00AE35C1">
        <w:rPr>
          <w:sz w:val="19"/>
          <w:szCs w:val="19"/>
        </w:rPr>
        <w:t>libereckiego</w:t>
      </w:r>
      <w:proofErr w:type="spellEnd"/>
      <w:r w:rsidRPr="00AE35C1">
        <w:rPr>
          <w:sz w:val="19"/>
          <w:szCs w:val="19"/>
        </w:rPr>
        <w:t xml:space="preserve"> (141), ołomunieckiego (122), </w:t>
      </w:r>
      <w:proofErr w:type="spellStart"/>
      <w:r w:rsidRPr="00AE35C1">
        <w:rPr>
          <w:sz w:val="19"/>
          <w:szCs w:val="19"/>
        </w:rPr>
        <w:t>hradeckiego</w:t>
      </w:r>
      <w:proofErr w:type="spellEnd"/>
      <w:r w:rsidRPr="00AE35C1">
        <w:rPr>
          <w:sz w:val="19"/>
          <w:szCs w:val="19"/>
        </w:rPr>
        <w:t xml:space="preserve"> (118), wielkopolskiego (117), pardubickiego (116), opolskiego (103) i lubuskiego (73).</w:t>
      </w:r>
      <w:r w:rsidR="00E807F6" w:rsidRPr="00AE35C1">
        <w:rPr>
          <w:sz w:val="19"/>
          <w:szCs w:val="19"/>
        </w:rPr>
        <w:t xml:space="preserve"> </w:t>
      </w:r>
    </w:p>
    <w:p w:rsidR="008A4860" w:rsidRDefault="008A4860" w:rsidP="008A4860">
      <w:pPr>
        <w:pStyle w:val="TEKST"/>
        <w:spacing w:after="0"/>
        <w:rPr>
          <w:sz w:val="19"/>
          <w:szCs w:val="19"/>
        </w:rPr>
      </w:pPr>
      <w:r w:rsidRPr="00AE35C1">
        <w:rPr>
          <w:sz w:val="19"/>
          <w:szCs w:val="19"/>
        </w:rPr>
        <w:t>Na Dolnym Śląsku w latach 2011-2016 następował sukcesywny coroczny spadek liczby mieszkańców – łącznie przez okres 6 lat ubyło 13,5 tys. osób, co stanowiło -0,5% ogółu populacji (w Polsce -0,3%). Wskaźnik urbanizacji w 2016 roku wynosił 69% (w Polsce 60,2%) i plasował region na 2. miejscu w Polsce za województwem śląskim. W latach 2011-2016 w województwie odnotowano również spadek liczby ludności miejskiej o  1,9% (w Polsce  -1,2%).</w:t>
      </w:r>
    </w:p>
    <w:p w:rsidR="008A4860" w:rsidRDefault="008A4860" w:rsidP="008A4860">
      <w:pPr>
        <w:pStyle w:val="TEKST"/>
        <w:spacing w:after="0"/>
        <w:rPr>
          <w:sz w:val="19"/>
          <w:szCs w:val="19"/>
        </w:rPr>
      </w:pPr>
      <w:r w:rsidRPr="00940BAB">
        <w:rPr>
          <w:sz w:val="19"/>
          <w:szCs w:val="19"/>
        </w:rPr>
        <w:t xml:space="preserve">Obserwowane na Dolnym Śląsku procesy demograficzne są w dużym stopniu zbieżne z przekształceniami ludnościowymi zachodzącymi w Europie Środkowo-Wschodniej. W ostatniej dekadzie (2005-2015) zjawisko depopulacji silnie zaznaczyło się nie tylko w województwie dolnośląskim (spadek liczby mieszkańców o 1,0%), ale także w większości regionów tej części kontynentu, w tym w regionach sąsiednich: opolskim (-9,4), Saksonii (-4,9%), ołomunieckim (-0,5%) i lubuskim (-0,4%). Jedynie województwo wielkopolskie odnotowało przyrost liczby ludności (o 2,5%), a także większość krajów czeskich sąsiadujących z Dolnym Śląskiem: </w:t>
      </w:r>
      <w:proofErr w:type="spellStart"/>
      <w:r w:rsidRPr="00940BAB">
        <w:rPr>
          <w:sz w:val="19"/>
          <w:szCs w:val="19"/>
        </w:rPr>
        <w:t>liberecki</w:t>
      </w:r>
      <w:proofErr w:type="spellEnd"/>
      <w:r w:rsidRPr="00940BAB">
        <w:rPr>
          <w:sz w:val="19"/>
          <w:szCs w:val="19"/>
        </w:rPr>
        <w:t xml:space="preserve"> (3,1%), pardubicki (2,4%) i </w:t>
      </w:r>
      <w:proofErr w:type="spellStart"/>
      <w:r w:rsidRPr="00940BAB">
        <w:rPr>
          <w:sz w:val="19"/>
          <w:szCs w:val="19"/>
        </w:rPr>
        <w:t>hradecki</w:t>
      </w:r>
      <w:proofErr w:type="spellEnd"/>
      <w:r w:rsidRPr="00940BAB">
        <w:rPr>
          <w:sz w:val="19"/>
          <w:szCs w:val="19"/>
        </w:rPr>
        <w:t xml:space="preserve"> (0,8%).</w:t>
      </w:r>
    </w:p>
    <w:p w:rsidR="008A4860" w:rsidRDefault="008A4860" w:rsidP="008A4860">
      <w:pPr>
        <w:pStyle w:val="TEKST"/>
        <w:spacing w:after="0"/>
        <w:rPr>
          <w:sz w:val="19"/>
          <w:szCs w:val="19"/>
        </w:rPr>
      </w:pPr>
    </w:p>
    <w:p w:rsidR="008A4860" w:rsidRPr="00AE35C1" w:rsidRDefault="008A4860" w:rsidP="008A4860">
      <w:pPr>
        <w:pStyle w:val="MAPA"/>
        <w:spacing w:before="0" w:line="288" w:lineRule="auto"/>
        <w:ind w:left="567" w:hanging="567"/>
        <w:jc w:val="both"/>
        <w:rPr>
          <w:rFonts w:ascii="Calibri" w:hAnsi="Calibri" w:cs="Calibri"/>
          <w:sz w:val="18"/>
          <w:szCs w:val="18"/>
        </w:rPr>
      </w:pPr>
      <w:r w:rsidRPr="00AE35C1">
        <w:rPr>
          <w:rFonts w:ascii="Calibri" w:hAnsi="Calibri" w:cs="Calibri"/>
          <w:sz w:val="18"/>
          <w:szCs w:val="18"/>
        </w:rPr>
        <w:lastRenderedPageBreak/>
        <w:t xml:space="preserve">MAPA </w:t>
      </w:r>
      <w:r>
        <w:rPr>
          <w:rFonts w:ascii="Calibri" w:hAnsi="Calibri" w:cs="Calibri"/>
          <w:sz w:val="18"/>
          <w:szCs w:val="18"/>
        </w:rPr>
        <w:t>7</w:t>
      </w:r>
      <w:r w:rsidRPr="00AE35C1">
        <w:rPr>
          <w:rFonts w:ascii="Calibri" w:hAnsi="Calibri" w:cs="Calibri"/>
          <w:sz w:val="18"/>
          <w:szCs w:val="18"/>
        </w:rPr>
        <w:t>. Zmiana liczby ludności w gminach (A) I </w:t>
      </w:r>
      <w:r>
        <w:rPr>
          <w:rFonts w:ascii="Calibri" w:hAnsi="Calibri" w:cs="Calibri"/>
          <w:sz w:val="18"/>
          <w:szCs w:val="18"/>
        </w:rPr>
        <w:t>sub</w:t>
      </w:r>
      <w:r w:rsidRPr="00AE35C1">
        <w:rPr>
          <w:rFonts w:ascii="Calibri" w:hAnsi="Calibri" w:cs="Calibri"/>
          <w:sz w:val="18"/>
          <w:szCs w:val="18"/>
        </w:rPr>
        <w:t>REGIONACH (B) województwa dolnośląskiego [2011-2016].</w:t>
      </w:r>
    </w:p>
    <w:p w:rsidR="008A4860" w:rsidRDefault="008A4860" w:rsidP="008A4860">
      <w:pPr>
        <w:pStyle w:val="TEKST"/>
        <w:spacing w:after="0"/>
        <w:rPr>
          <w:sz w:val="19"/>
          <w:szCs w:val="19"/>
        </w:rPr>
      </w:pPr>
      <w:r>
        <w:rPr>
          <w:i/>
          <w:noProof/>
          <w:lang w:eastAsia="pl-PL"/>
        </w:rPr>
        <w:drawing>
          <wp:inline distT="0" distB="0" distL="0" distR="0">
            <wp:extent cx="2828925" cy="2638425"/>
            <wp:effectExtent l="19050" t="0" r="9525" b="0"/>
            <wp:docPr id="3" name="Obraz 4" descr="zmiana ludn1116_05_EUROSTAT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miana ludn1116_05_EUROSTAT_A"/>
                    <pic:cNvPicPr>
                      <a:picLocks noChangeAspect="1" noChangeArrowheads="1"/>
                    </pic:cNvPicPr>
                  </pic:nvPicPr>
                  <pic:blipFill>
                    <a:blip r:embed="rId29" cstate="print"/>
                    <a:srcRect/>
                    <a:stretch>
                      <a:fillRect/>
                    </a:stretch>
                  </pic:blipFill>
                  <pic:spPr bwMode="auto">
                    <a:xfrm>
                      <a:off x="0" y="0"/>
                      <a:ext cx="2828925" cy="2638425"/>
                    </a:xfrm>
                    <a:prstGeom prst="rect">
                      <a:avLst/>
                    </a:prstGeom>
                    <a:noFill/>
                    <a:ln w="9525">
                      <a:noFill/>
                      <a:miter lim="800000"/>
                      <a:headEnd/>
                      <a:tailEnd/>
                    </a:ln>
                  </pic:spPr>
                </pic:pic>
              </a:graphicData>
            </a:graphic>
          </wp:inline>
        </w:drawing>
      </w:r>
    </w:p>
    <w:p w:rsidR="008A4860" w:rsidRDefault="008A4860" w:rsidP="008A4860">
      <w:pPr>
        <w:pStyle w:val="TEKST"/>
        <w:spacing w:after="0"/>
        <w:rPr>
          <w:sz w:val="19"/>
          <w:szCs w:val="19"/>
        </w:rPr>
      </w:pPr>
      <w:r>
        <w:rPr>
          <w:rFonts w:cs="Calibri"/>
          <w:noProof/>
          <w:sz w:val="18"/>
          <w:szCs w:val="18"/>
          <w:lang w:eastAsia="pl-PL"/>
        </w:rPr>
        <w:drawing>
          <wp:inline distT="0" distB="0" distL="0" distR="0">
            <wp:extent cx="2828925" cy="2638425"/>
            <wp:effectExtent l="19050" t="0" r="9525" b="0"/>
            <wp:docPr id="5" name="Obraz 5" descr="zmiana ludn1116_nuts3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miana ludn1116_nuts3_B"/>
                    <pic:cNvPicPr>
                      <a:picLocks noChangeAspect="1" noChangeArrowheads="1"/>
                    </pic:cNvPicPr>
                  </pic:nvPicPr>
                  <pic:blipFill>
                    <a:blip r:embed="rId30" cstate="print"/>
                    <a:srcRect/>
                    <a:stretch>
                      <a:fillRect/>
                    </a:stretch>
                  </pic:blipFill>
                  <pic:spPr bwMode="auto">
                    <a:xfrm>
                      <a:off x="0" y="0"/>
                      <a:ext cx="2828925" cy="2638425"/>
                    </a:xfrm>
                    <a:prstGeom prst="rect">
                      <a:avLst/>
                    </a:prstGeom>
                    <a:noFill/>
                    <a:ln w="9525">
                      <a:noFill/>
                      <a:miter lim="800000"/>
                      <a:headEnd/>
                      <a:tailEnd/>
                    </a:ln>
                  </pic:spPr>
                </pic:pic>
              </a:graphicData>
            </a:graphic>
          </wp:inline>
        </w:drawing>
      </w:r>
    </w:p>
    <w:p w:rsidR="008A4860" w:rsidRPr="00CB0324" w:rsidRDefault="008A4860" w:rsidP="008A4860">
      <w:pPr>
        <w:pStyle w:val="rdo0"/>
        <w:rPr>
          <w:color w:val="000000" w:themeColor="text1"/>
        </w:rPr>
      </w:pPr>
      <w:r w:rsidRPr="00CB0324">
        <w:rPr>
          <w:color w:val="000000" w:themeColor="text1"/>
        </w:rPr>
        <w:t>Źródło: opracowanie własne na podstawie danych GUS.</w:t>
      </w:r>
    </w:p>
    <w:p w:rsidR="008A4860" w:rsidRDefault="008A4860" w:rsidP="008A4860">
      <w:pPr>
        <w:rPr>
          <w:lang w:eastAsia="pl-PL"/>
        </w:rPr>
      </w:pPr>
    </w:p>
    <w:p w:rsidR="008A4860" w:rsidRPr="008A4860" w:rsidRDefault="008A4860" w:rsidP="008A4860">
      <w:pPr>
        <w:rPr>
          <w:lang w:eastAsia="pl-PL"/>
        </w:rPr>
        <w:sectPr w:rsidR="008A4860" w:rsidRPr="008A4860" w:rsidSect="00E73C96">
          <w:type w:val="continuous"/>
          <w:pgSz w:w="11906" w:h="16838"/>
          <w:pgMar w:top="1571" w:right="1276" w:bottom="1417" w:left="1417" w:header="708" w:footer="708" w:gutter="0"/>
          <w:cols w:num="2" w:space="454"/>
          <w:docGrid w:linePitch="360"/>
        </w:sectPr>
      </w:pPr>
    </w:p>
    <w:p w:rsidR="00940BAB" w:rsidRDefault="00940BAB" w:rsidP="005F49A2">
      <w:pPr>
        <w:pStyle w:val="TEKST"/>
        <w:spacing w:after="0"/>
        <w:rPr>
          <w:sz w:val="19"/>
          <w:szCs w:val="19"/>
        </w:rPr>
      </w:pPr>
    </w:p>
    <w:p w:rsidR="008A4860" w:rsidRDefault="008A4860" w:rsidP="005F49A2">
      <w:pPr>
        <w:pStyle w:val="TEKST"/>
        <w:spacing w:after="0"/>
        <w:rPr>
          <w:sz w:val="19"/>
          <w:szCs w:val="19"/>
        </w:rPr>
      </w:pPr>
    </w:p>
    <w:p w:rsidR="00940BAB" w:rsidRDefault="00940BAB" w:rsidP="002050A7">
      <w:pPr>
        <w:pStyle w:val="MAPA"/>
        <w:spacing w:before="300" w:line="288" w:lineRule="auto"/>
        <w:jc w:val="both"/>
        <w:rPr>
          <w:rFonts w:ascii="Calibri" w:hAnsi="Calibri" w:cs="Calibri"/>
          <w:sz w:val="18"/>
          <w:szCs w:val="18"/>
        </w:rPr>
        <w:sectPr w:rsidR="00940BAB" w:rsidSect="00940BAB">
          <w:headerReference w:type="default" r:id="rId31"/>
          <w:type w:val="continuous"/>
          <w:pgSz w:w="11906" w:h="16838"/>
          <w:pgMar w:top="1276" w:right="1276" w:bottom="993" w:left="1417" w:header="708" w:footer="708" w:gutter="0"/>
          <w:cols w:space="454"/>
          <w:docGrid w:linePitch="360"/>
        </w:sectPr>
      </w:pPr>
    </w:p>
    <w:p w:rsidR="000C6BE4" w:rsidRPr="00AE35C1" w:rsidRDefault="000C6BE4" w:rsidP="008A4860">
      <w:pPr>
        <w:pStyle w:val="MAPA"/>
        <w:spacing w:before="0" w:line="288" w:lineRule="auto"/>
        <w:jc w:val="both"/>
        <w:rPr>
          <w:rFonts w:ascii="Calibri" w:hAnsi="Calibri" w:cs="Calibri"/>
          <w:sz w:val="18"/>
          <w:szCs w:val="18"/>
        </w:rPr>
      </w:pPr>
      <w:r w:rsidRPr="00AE35C1">
        <w:rPr>
          <w:rFonts w:ascii="Calibri" w:hAnsi="Calibri" w:cs="Calibri"/>
          <w:sz w:val="18"/>
          <w:szCs w:val="18"/>
        </w:rPr>
        <w:lastRenderedPageBreak/>
        <w:t xml:space="preserve">MAPA </w:t>
      </w:r>
      <w:r w:rsidR="004964B3">
        <w:rPr>
          <w:rFonts w:ascii="Calibri" w:hAnsi="Calibri" w:cs="Calibri"/>
          <w:sz w:val="18"/>
          <w:szCs w:val="18"/>
        </w:rPr>
        <w:t>8</w:t>
      </w:r>
      <w:r w:rsidRPr="00AE35C1">
        <w:rPr>
          <w:rFonts w:ascii="Calibri" w:hAnsi="Calibri" w:cs="Calibri"/>
          <w:sz w:val="18"/>
          <w:szCs w:val="18"/>
        </w:rPr>
        <w:t>. zmiana liczby ludności w regionach NUTS3 w europie [2005-2015].</w:t>
      </w:r>
    </w:p>
    <w:p w:rsidR="002576FC" w:rsidRPr="00AE35C1" w:rsidRDefault="002576FC" w:rsidP="005F49A2">
      <w:pPr>
        <w:spacing w:after="0" w:line="288" w:lineRule="auto"/>
        <w:jc w:val="center"/>
        <w:rPr>
          <w:color w:val="000000"/>
        </w:rPr>
      </w:pPr>
      <w:r w:rsidRPr="002576FC">
        <w:rPr>
          <w:noProof/>
          <w:color w:val="000000"/>
          <w:lang w:eastAsia="pl-PL"/>
        </w:rPr>
        <w:drawing>
          <wp:inline distT="0" distB="0" distL="0" distR="0">
            <wp:extent cx="2780665" cy="3857928"/>
            <wp:effectExtent l="0" t="0" r="635" b="9525"/>
            <wp:docPr id="87" name="Obraz 87" descr="P:\ PROJEKTY 2017\09 SRWD 2030\04_Grafika\jpg\UE\Map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 PROJEKTY 2017\09 SRWD 2030\04_Grafika\jpg\UE\Mapa 6.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665" cy="3857928"/>
                    </a:xfrm>
                    <a:prstGeom prst="rect">
                      <a:avLst/>
                    </a:prstGeom>
                    <a:noFill/>
                    <a:ln>
                      <a:noFill/>
                    </a:ln>
                  </pic:spPr>
                </pic:pic>
              </a:graphicData>
            </a:graphic>
          </wp:inline>
        </w:drawing>
      </w:r>
    </w:p>
    <w:p w:rsidR="00403099" w:rsidRPr="00606D71" w:rsidRDefault="000C6BE4" w:rsidP="00403099">
      <w:pPr>
        <w:pStyle w:val="RDO"/>
        <w:spacing w:line="288" w:lineRule="auto"/>
        <w:rPr>
          <w:color w:val="000000"/>
        </w:rPr>
      </w:pPr>
      <w:r w:rsidRPr="00606D71">
        <w:rPr>
          <w:color w:val="000000"/>
        </w:rPr>
        <w:t xml:space="preserve">Źródło: </w:t>
      </w:r>
      <w:r w:rsidR="00606D71" w:rsidRPr="00606D71">
        <w:rPr>
          <w:color w:val="000000"/>
        </w:rPr>
        <w:t xml:space="preserve">Siódmy raport na temat spójności gospodarczej, społecznej </w:t>
      </w:r>
      <w:r w:rsidR="00606D71">
        <w:rPr>
          <w:color w:val="000000"/>
        </w:rPr>
        <w:t>i</w:t>
      </w:r>
      <w:r w:rsidR="008A4860">
        <w:rPr>
          <w:color w:val="000000"/>
        </w:rPr>
        <w:t> </w:t>
      </w:r>
      <w:r w:rsidR="00606D71" w:rsidRPr="00606D71">
        <w:rPr>
          <w:color w:val="000000"/>
        </w:rPr>
        <w:t xml:space="preserve">terytorialnej, </w:t>
      </w:r>
      <w:r w:rsidRPr="00606D71">
        <w:rPr>
          <w:color w:val="000000"/>
        </w:rPr>
        <w:t xml:space="preserve">, </w:t>
      </w:r>
      <w:r w:rsidRPr="00D113CA">
        <w:rPr>
          <w:i w:val="0"/>
          <w:color w:val="000000"/>
        </w:rPr>
        <w:t>2017</w:t>
      </w:r>
      <w:r w:rsidRPr="00606D71">
        <w:rPr>
          <w:color w:val="000000"/>
        </w:rPr>
        <w:t>.</w:t>
      </w:r>
      <w:r w:rsidR="00403099" w:rsidRPr="00606D71">
        <w:rPr>
          <w:color w:val="000000"/>
        </w:rPr>
        <w:t xml:space="preserve"> </w:t>
      </w:r>
    </w:p>
    <w:p w:rsidR="000C6BE4" w:rsidRPr="00AE35C1" w:rsidRDefault="000C6BE4" w:rsidP="005F49A2">
      <w:pPr>
        <w:pStyle w:val="TEKST"/>
        <w:spacing w:before="120" w:after="0"/>
        <w:rPr>
          <w:sz w:val="19"/>
          <w:szCs w:val="19"/>
        </w:rPr>
      </w:pPr>
      <w:r w:rsidRPr="00AE35C1">
        <w:rPr>
          <w:sz w:val="19"/>
          <w:szCs w:val="19"/>
        </w:rPr>
        <w:t xml:space="preserve">W 2016 roku ludność </w:t>
      </w:r>
      <w:r w:rsidR="00C15F19" w:rsidRPr="00AE35C1">
        <w:rPr>
          <w:b/>
          <w:sz w:val="19"/>
          <w:szCs w:val="19"/>
        </w:rPr>
        <w:t xml:space="preserve">w </w:t>
      </w:r>
      <w:r w:rsidRPr="00AE35C1">
        <w:rPr>
          <w:b/>
          <w:sz w:val="19"/>
          <w:szCs w:val="19"/>
        </w:rPr>
        <w:t>wieku przedprodukcyjnym</w:t>
      </w:r>
      <w:r w:rsidRPr="00AE35C1">
        <w:rPr>
          <w:sz w:val="19"/>
          <w:szCs w:val="19"/>
        </w:rPr>
        <w:t xml:space="preserve"> stanowiła 16,8% ogółu mieszkańców (w Polsce 17,9%) – była to jedna z najniższych wartości spośród polskich regionów, klasyfikująca region na 14. miejscu w kraju. Ludność </w:t>
      </w:r>
      <w:r w:rsidRPr="00AE35C1">
        <w:rPr>
          <w:b/>
          <w:sz w:val="19"/>
          <w:szCs w:val="19"/>
        </w:rPr>
        <w:t>w wieku produkcyjnym</w:t>
      </w:r>
      <w:r w:rsidRPr="00AE35C1">
        <w:rPr>
          <w:sz w:val="19"/>
          <w:szCs w:val="19"/>
        </w:rPr>
        <w:t xml:space="preserve"> stanowiła 62% populacji – 9. miejsce w kraju (61,8%), a ludność </w:t>
      </w:r>
      <w:r w:rsidRPr="00AE35C1">
        <w:rPr>
          <w:b/>
          <w:sz w:val="19"/>
          <w:szCs w:val="19"/>
        </w:rPr>
        <w:t xml:space="preserve">w wieku poprodukcyjnym </w:t>
      </w:r>
      <w:r w:rsidRPr="00AE35C1">
        <w:rPr>
          <w:sz w:val="19"/>
          <w:szCs w:val="19"/>
        </w:rPr>
        <w:t>obejmowała aż 21,2% mieszkańców, 4. miejsce w kraju (20,2%). Wskaźniki te wskazują na niekorzystną strukturę wieku ludności Dolnego Śląska w porównaniu do innych polskich województw.</w:t>
      </w:r>
    </w:p>
    <w:p w:rsidR="008A4860" w:rsidRDefault="000C6BE4" w:rsidP="005F49A2">
      <w:pPr>
        <w:pStyle w:val="TEKST"/>
        <w:spacing w:before="120" w:after="0"/>
        <w:rPr>
          <w:sz w:val="19"/>
          <w:szCs w:val="19"/>
        </w:rPr>
      </w:pPr>
      <w:r w:rsidRPr="00AE35C1">
        <w:rPr>
          <w:sz w:val="19"/>
          <w:szCs w:val="19"/>
        </w:rPr>
        <w:t>Również średnioroczny</w:t>
      </w:r>
      <w:r w:rsidRPr="00AE35C1">
        <w:rPr>
          <w:b/>
          <w:sz w:val="19"/>
          <w:szCs w:val="19"/>
        </w:rPr>
        <w:t xml:space="preserve"> współczynnik przyrostu naturalnego</w:t>
      </w:r>
      <w:r w:rsidRPr="00AE35C1">
        <w:rPr>
          <w:sz w:val="19"/>
          <w:szCs w:val="19"/>
        </w:rPr>
        <w:t xml:space="preserve"> w województwie dolnośląskim w latach 2011-2016 osiągnął jedną z najniższych wartości wśród polskich regionów (12. miejsce) wynosząc -1,2‰ (w Polsce -0,2‰). Ponadto w badanym okresie zarysowały się silne dysproporcje w poziomie przyrostu naturalnego pomiędzy obszarami miejskimi (-1,7‰; w Polsc</w:t>
      </w:r>
      <w:r w:rsidR="002237EA" w:rsidRPr="00AE35C1">
        <w:rPr>
          <w:sz w:val="19"/>
          <w:szCs w:val="19"/>
        </w:rPr>
        <w:t xml:space="preserve">e -0,6‰) a obszarami wiejskimi </w:t>
      </w:r>
      <w:r w:rsidRPr="00AE35C1">
        <w:rPr>
          <w:sz w:val="19"/>
          <w:szCs w:val="19"/>
        </w:rPr>
        <w:t xml:space="preserve">(-0,1‰, w Polsce 0,5‰). W układzie wewnątrzregionalnym niekorzystna sytuacja demograficzna w zakresie przyrostu naturalnego zaznaczyła się w szczególności w gminach miejskich położonych w południowej części </w:t>
      </w:r>
      <w:r w:rsidRPr="00AE35C1">
        <w:rPr>
          <w:sz w:val="19"/>
          <w:szCs w:val="19"/>
        </w:rPr>
        <w:lastRenderedPageBreak/>
        <w:t>województwa, zaś korzystna w gminach wiejskich lub miejsko-wiejskich usytuowanych wokół Wrocławia.</w:t>
      </w:r>
      <w:r w:rsidR="00644A74" w:rsidRPr="00AE35C1">
        <w:rPr>
          <w:sz w:val="19"/>
          <w:szCs w:val="19"/>
        </w:rPr>
        <w:t xml:space="preserve"> </w:t>
      </w:r>
    </w:p>
    <w:tbl>
      <w:tblPr>
        <w:tblW w:w="0" w:type="auto"/>
        <w:tblInd w:w="-142" w:type="dxa"/>
        <w:tblLook w:val="04A0"/>
      </w:tblPr>
      <w:tblGrid>
        <w:gridCol w:w="4670"/>
      </w:tblGrid>
      <w:tr w:rsidR="008A4860" w:rsidRPr="00AE35C1" w:rsidTr="00CB0324">
        <w:tc>
          <w:tcPr>
            <w:tcW w:w="4521" w:type="dxa"/>
            <w:shd w:val="clear" w:color="auto" w:fill="auto"/>
          </w:tcPr>
          <w:p w:rsidR="008A4860" w:rsidRPr="00AE35C1" w:rsidRDefault="008A4860" w:rsidP="00E7427F">
            <w:pPr>
              <w:pStyle w:val="MAPA"/>
              <w:spacing w:before="0" w:line="288" w:lineRule="auto"/>
              <w:ind w:left="567" w:hanging="567"/>
              <w:jc w:val="both"/>
              <w:rPr>
                <w:rFonts w:ascii="Calibri" w:hAnsi="Calibri" w:cs="Calibri"/>
                <w:sz w:val="18"/>
                <w:szCs w:val="18"/>
              </w:rPr>
            </w:pPr>
            <w:r w:rsidRPr="00AE35C1">
              <w:rPr>
                <w:rFonts w:ascii="Calibri" w:hAnsi="Calibri" w:cs="Calibri"/>
                <w:sz w:val="18"/>
                <w:szCs w:val="18"/>
              </w:rPr>
              <w:t xml:space="preserve">MAPA </w:t>
            </w:r>
            <w:r>
              <w:rPr>
                <w:rFonts w:ascii="Calibri" w:hAnsi="Calibri" w:cs="Calibri"/>
                <w:sz w:val="18"/>
                <w:szCs w:val="18"/>
              </w:rPr>
              <w:t>9</w:t>
            </w:r>
            <w:r w:rsidRPr="00AE35C1">
              <w:rPr>
                <w:rFonts w:ascii="Calibri" w:hAnsi="Calibri" w:cs="Calibri"/>
                <w:sz w:val="18"/>
                <w:szCs w:val="18"/>
              </w:rPr>
              <w:t>. przyrost naturalny w gminach (A) I </w:t>
            </w:r>
            <w:r>
              <w:rPr>
                <w:rFonts w:ascii="Calibri" w:hAnsi="Calibri" w:cs="Calibri"/>
                <w:sz w:val="18"/>
                <w:szCs w:val="18"/>
              </w:rPr>
              <w:t>sub</w:t>
            </w:r>
            <w:r w:rsidRPr="00AE35C1">
              <w:rPr>
                <w:rFonts w:ascii="Calibri" w:hAnsi="Calibri" w:cs="Calibri"/>
                <w:sz w:val="18"/>
                <w:szCs w:val="18"/>
              </w:rPr>
              <w:t>REGIONACH (B) województwa dolnośląskiego [2011-2016].</w:t>
            </w:r>
          </w:p>
          <w:p w:rsidR="008A4860" w:rsidRPr="00AE35C1" w:rsidRDefault="008A4860" w:rsidP="006B79DC">
            <w:pPr>
              <w:pStyle w:val="MAPA"/>
              <w:pBdr>
                <w:bottom w:val="none" w:sz="0" w:space="0" w:color="auto"/>
              </w:pBdr>
              <w:spacing w:before="0" w:after="0" w:line="288" w:lineRule="auto"/>
              <w:ind w:left="0" w:firstLine="0"/>
              <w:rPr>
                <w:rFonts w:ascii="Calibri" w:hAnsi="Calibri" w:cs="Calibri"/>
                <w:sz w:val="18"/>
                <w:szCs w:val="18"/>
              </w:rPr>
            </w:pPr>
            <w:r>
              <w:drawing>
                <wp:inline distT="0" distB="0" distL="0" distR="0">
                  <wp:extent cx="2827725" cy="2650376"/>
                  <wp:effectExtent l="0" t="0" r="0" b="0"/>
                  <wp:docPr id="7" name="Obraz 7" descr="przyrost natur_EUROSTAT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zyrost natur_EUROSTAT_A"/>
                          <pic:cNvPicPr>
                            <a:picLocks noChangeAspect="1" noChangeArrowheads="1"/>
                          </pic:cNvPicPr>
                        </pic:nvPicPr>
                        <pic:blipFill>
                          <a:blip r:embed="rId33" cstate="print"/>
                          <a:srcRect/>
                          <a:stretch>
                            <a:fillRect/>
                          </a:stretch>
                        </pic:blipFill>
                        <pic:spPr bwMode="auto">
                          <a:xfrm>
                            <a:off x="0" y="0"/>
                            <a:ext cx="2829354" cy="2651903"/>
                          </a:xfrm>
                          <a:prstGeom prst="rect">
                            <a:avLst/>
                          </a:prstGeom>
                          <a:noFill/>
                          <a:ln w="9525">
                            <a:noFill/>
                            <a:miter lim="800000"/>
                            <a:headEnd/>
                            <a:tailEnd/>
                          </a:ln>
                        </pic:spPr>
                      </pic:pic>
                    </a:graphicData>
                  </a:graphic>
                </wp:inline>
              </w:drawing>
            </w:r>
          </w:p>
        </w:tc>
      </w:tr>
      <w:tr w:rsidR="008A4860" w:rsidRPr="00AE35C1" w:rsidTr="00CB0324">
        <w:tc>
          <w:tcPr>
            <w:tcW w:w="4521" w:type="dxa"/>
            <w:shd w:val="clear" w:color="auto" w:fill="auto"/>
          </w:tcPr>
          <w:p w:rsidR="008A4860" w:rsidRPr="00AE35C1" w:rsidRDefault="008A4860" w:rsidP="006B79DC">
            <w:pPr>
              <w:pStyle w:val="RDO"/>
              <w:spacing w:after="0" w:line="288" w:lineRule="auto"/>
              <w:rPr>
                <w:color w:val="000000"/>
              </w:rPr>
            </w:pPr>
            <w:r>
              <w:rPr>
                <w:noProof/>
                <w:color w:val="000000"/>
              </w:rPr>
              <w:drawing>
                <wp:inline distT="0" distB="0" distL="0" distR="0">
                  <wp:extent cx="2812287" cy="2630849"/>
                  <wp:effectExtent l="0" t="0" r="7620" b="0"/>
                  <wp:docPr id="8" name="Obraz 8" descr="przyrost natur1116_nuts3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zyrost natur1116_nuts3_B"/>
                          <pic:cNvPicPr>
                            <a:picLocks noChangeAspect="1" noChangeArrowheads="1"/>
                          </pic:cNvPicPr>
                        </pic:nvPicPr>
                        <pic:blipFill>
                          <a:blip r:embed="rId34" cstate="print"/>
                          <a:srcRect/>
                          <a:stretch>
                            <a:fillRect/>
                          </a:stretch>
                        </pic:blipFill>
                        <pic:spPr bwMode="auto">
                          <a:xfrm>
                            <a:off x="0" y="0"/>
                            <a:ext cx="2815260" cy="2633630"/>
                          </a:xfrm>
                          <a:prstGeom prst="rect">
                            <a:avLst/>
                          </a:prstGeom>
                          <a:noFill/>
                          <a:ln w="9525">
                            <a:noFill/>
                            <a:miter lim="800000"/>
                            <a:headEnd/>
                            <a:tailEnd/>
                          </a:ln>
                        </pic:spPr>
                      </pic:pic>
                    </a:graphicData>
                  </a:graphic>
                </wp:inline>
              </w:drawing>
            </w:r>
          </w:p>
          <w:p w:rsidR="008A4860" w:rsidRPr="00AE35C1" w:rsidRDefault="008A4860" w:rsidP="006B79DC">
            <w:pPr>
              <w:pStyle w:val="RDO"/>
              <w:spacing w:after="0" w:line="288" w:lineRule="auto"/>
              <w:rPr>
                <w:color w:val="000000"/>
              </w:rPr>
            </w:pPr>
            <w:r w:rsidRPr="00AE35C1">
              <w:rPr>
                <w:color w:val="000000"/>
              </w:rPr>
              <w:t>Źródło: opracowanie własne na podstawie danych GUS.</w:t>
            </w:r>
          </w:p>
        </w:tc>
      </w:tr>
    </w:tbl>
    <w:p w:rsidR="000C6BE4" w:rsidRPr="00AE35C1" w:rsidRDefault="000C6BE4" w:rsidP="005F49A2">
      <w:pPr>
        <w:pStyle w:val="TEKST"/>
        <w:spacing w:before="120" w:after="0"/>
        <w:rPr>
          <w:sz w:val="19"/>
          <w:szCs w:val="19"/>
        </w:rPr>
      </w:pPr>
      <w:r w:rsidRPr="00AE35C1">
        <w:rPr>
          <w:sz w:val="19"/>
          <w:szCs w:val="19"/>
        </w:rPr>
        <w:t>W latach 2011-2016 średnioroczny</w:t>
      </w:r>
      <w:r w:rsidRPr="00AE35C1">
        <w:rPr>
          <w:b/>
          <w:sz w:val="19"/>
          <w:szCs w:val="19"/>
        </w:rPr>
        <w:t xml:space="preserve"> współczynnik przyrostu wędrówkowego </w:t>
      </w:r>
      <w:r w:rsidRPr="00AE35C1">
        <w:rPr>
          <w:sz w:val="19"/>
          <w:szCs w:val="19"/>
        </w:rPr>
        <w:t xml:space="preserve">w regionie wyniósł 0,5‰ (w Polsce -0,2‰) i była to jedna z najwyższych wartości pośród polskich regionów (4. miejsce). Na Dolnym Śląsku w analizowanym okresie zaznaczyło się duże zróżnicowanie wewnątrzregionalne zjawiska w układzie miasto-wieś. Na obszarach miejskich zanotowano wyraźnie ujemne saldo migracji, natomiast na obszarach wiejskich, w tym zwłaszcza w gminach podmiejskich Wrocławia, zarejestrowano relatywnie duże dodatnie saldo migracji. </w:t>
      </w:r>
    </w:p>
    <w:p w:rsidR="000C6BE4" w:rsidRDefault="000C6BE4" w:rsidP="005F49A2">
      <w:pPr>
        <w:pStyle w:val="TEKST"/>
        <w:spacing w:after="0"/>
        <w:rPr>
          <w:sz w:val="19"/>
          <w:szCs w:val="19"/>
        </w:rPr>
      </w:pPr>
    </w:p>
    <w:p w:rsidR="008A4860" w:rsidRDefault="008A4860" w:rsidP="005F49A2">
      <w:pPr>
        <w:pStyle w:val="TEKST"/>
        <w:spacing w:after="0"/>
        <w:rPr>
          <w:sz w:val="19"/>
          <w:szCs w:val="19"/>
        </w:rPr>
      </w:pPr>
    </w:p>
    <w:p w:rsidR="008A4860" w:rsidRDefault="008A4860" w:rsidP="005F49A2">
      <w:pPr>
        <w:pStyle w:val="TEKST"/>
        <w:spacing w:after="0"/>
        <w:rPr>
          <w:sz w:val="19"/>
          <w:szCs w:val="19"/>
        </w:rPr>
      </w:pPr>
    </w:p>
    <w:p w:rsidR="008A4860" w:rsidRDefault="008A4860" w:rsidP="005F49A2">
      <w:pPr>
        <w:pStyle w:val="TEKST"/>
        <w:spacing w:after="0"/>
        <w:rPr>
          <w:sz w:val="19"/>
          <w:szCs w:val="19"/>
        </w:rPr>
      </w:pPr>
    </w:p>
    <w:p w:rsidR="008A4860" w:rsidRDefault="008A4860" w:rsidP="005F49A2">
      <w:pPr>
        <w:pStyle w:val="TEKST"/>
        <w:spacing w:after="0"/>
        <w:rPr>
          <w:sz w:val="19"/>
          <w:szCs w:val="19"/>
        </w:rPr>
      </w:pPr>
    </w:p>
    <w:p w:rsidR="008A4860" w:rsidRDefault="008A4860" w:rsidP="005F49A2">
      <w:pPr>
        <w:pStyle w:val="TEKST"/>
        <w:spacing w:after="0"/>
        <w:rPr>
          <w:sz w:val="19"/>
          <w:szCs w:val="19"/>
        </w:rPr>
      </w:pPr>
    </w:p>
    <w:p w:rsidR="008A4860" w:rsidRPr="00AE35C1" w:rsidRDefault="008A4860" w:rsidP="005F49A2">
      <w:pPr>
        <w:pStyle w:val="TEKST"/>
        <w:spacing w:after="0"/>
        <w:rPr>
          <w:sz w:val="19"/>
          <w:szCs w:val="19"/>
        </w:rPr>
        <w:sectPr w:rsidR="008A4860" w:rsidRPr="00AE35C1" w:rsidSect="00E73C96">
          <w:type w:val="continuous"/>
          <w:pgSz w:w="11906" w:h="16838"/>
          <w:pgMar w:top="1276" w:right="1276" w:bottom="993" w:left="1417" w:header="708" w:footer="708" w:gutter="0"/>
          <w:cols w:num="2" w:space="454"/>
          <w:docGrid w:linePitch="360"/>
        </w:sectPr>
      </w:pPr>
    </w:p>
    <w:p w:rsidR="008A4860" w:rsidRDefault="008A4860" w:rsidP="008A4860">
      <w:pPr>
        <w:pStyle w:val="MAPA"/>
      </w:pPr>
      <w:r w:rsidRPr="00AE35C1">
        <w:lastRenderedPageBreak/>
        <w:t xml:space="preserve">MAPA </w:t>
      </w:r>
      <w:r>
        <w:t>10</w:t>
      </w:r>
      <w:r w:rsidRPr="00AE35C1">
        <w:t xml:space="preserve">. Saldo migracji na pobyt stały w gminach (A) I </w:t>
      </w:r>
      <w:r>
        <w:t>sub</w:t>
      </w:r>
      <w:r w:rsidRPr="00AE35C1">
        <w:t>REGIONACH (B) województwa dolnośląskiego [2011-2016].</w:t>
      </w:r>
    </w:p>
    <w:p w:rsidR="008A4860" w:rsidRDefault="008A4860" w:rsidP="00BD2E92">
      <w:pPr>
        <w:pStyle w:val="TEKST"/>
        <w:spacing w:after="0"/>
        <w:sectPr w:rsidR="008A4860" w:rsidSect="008A4860">
          <w:type w:val="continuous"/>
          <w:pgSz w:w="11906" w:h="16838"/>
          <w:pgMar w:top="1134" w:right="1276" w:bottom="1417" w:left="1417" w:header="708" w:footer="708" w:gutter="0"/>
          <w:cols w:space="454"/>
          <w:docGrid w:linePitch="360"/>
        </w:sectPr>
      </w:pPr>
    </w:p>
    <w:tbl>
      <w:tblPr>
        <w:tblW w:w="4626" w:type="dxa"/>
        <w:tblInd w:w="-34" w:type="dxa"/>
        <w:tblLook w:val="04A0"/>
      </w:tblPr>
      <w:tblGrid>
        <w:gridCol w:w="4626"/>
      </w:tblGrid>
      <w:tr w:rsidR="008A4860" w:rsidRPr="00AE35C1" w:rsidTr="008A4860">
        <w:tc>
          <w:tcPr>
            <w:tcW w:w="4626" w:type="dxa"/>
            <w:shd w:val="clear" w:color="auto" w:fill="auto"/>
          </w:tcPr>
          <w:p w:rsidR="008A4860" w:rsidRPr="00AE35C1" w:rsidRDefault="008A4860" w:rsidP="006B79DC">
            <w:pPr>
              <w:pStyle w:val="MAPA"/>
              <w:pBdr>
                <w:bottom w:val="none" w:sz="0" w:space="0" w:color="auto"/>
              </w:pBdr>
              <w:spacing w:before="0" w:after="0" w:line="288" w:lineRule="auto"/>
              <w:ind w:left="0" w:firstLine="0"/>
              <w:rPr>
                <w:rFonts w:ascii="Calibri" w:hAnsi="Calibri" w:cs="Calibri"/>
                <w:sz w:val="18"/>
                <w:szCs w:val="18"/>
              </w:rPr>
            </w:pPr>
            <w:r>
              <w:rPr>
                <w:rFonts w:ascii="Calibri" w:hAnsi="Calibri" w:cs="Calibri"/>
                <w:sz w:val="18"/>
                <w:szCs w:val="18"/>
              </w:rPr>
              <w:lastRenderedPageBreak/>
              <w:drawing>
                <wp:inline distT="0" distB="0" distL="0" distR="0">
                  <wp:extent cx="2727832" cy="2550337"/>
                  <wp:effectExtent l="0" t="0" r="0" b="2540"/>
                  <wp:docPr id="9" name="Obraz 9" descr="przyrost wedr_EUROSTAT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zyrost wedr_EUROSTAT_A"/>
                          <pic:cNvPicPr>
                            <a:picLocks noChangeAspect="1" noChangeArrowheads="1"/>
                          </pic:cNvPicPr>
                        </pic:nvPicPr>
                        <pic:blipFill>
                          <a:blip r:embed="rId35" cstate="print"/>
                          <a:srcRect/>
                          <a:stretch>
                            <a:fillRect/>
                          </a:stretch>
                        </pic:blipFill>
                        <pic:spPr bwMode="auto">
                          <a:xfrm>
                            <a:off x="0" y="0"/>
                            <a:ext cx="2736204" cy="2558164"/>
                          </a:xfrm>
                          <a:prstGeom prst="rect">
                            <a:avLst/>
                          </a:prstGeom>
                          <a:noFill/>
                          <a:ln w="9525">
                            <a:noFill/>
                            <a:miter lim="800000"/>
                            <a:headEnd/>
                            <a:tailEnd/>
                          </a:ln>
                        </pic:spPr>
                      </pic:pic>
                    </a:graphicData>
                  </a:graphic>
                </wp:inline>
              </w:drawing>
            </w:r>
          </w:p>
        </w:tc>
      </w:tr>
      <w:tr w:rsidR="008A4860" w:rsidRPr="00AE35C1" w:rsidTr="008A4860">
        <w:tc>
          <w:tcPr>
            <w:tcW w:w="4626" w:type="dxa"/>
            <w:shd w:val="clear" w:color="auto" w:fill="auto"/>
          </w:tcPr>
          <w:p w:rsidR="008A4860" w:rsidRDefault="008A4860" w:rsidP="00CB0324">
            <w:pPr>
              <w:spacing w:after="0"/>
            </w:pPr>
            <w:r>
              <w:rPr>
                <w:noProof/>
                <w:color w:val="000000"/>
                <w:lang w:eastAsia="pl-PL"/>
              </w:rPr>
              <w:drawing>
                <wp:inline distT="0" distB="0" distL="0" distR="0">
                  <wp:extent cx="2718237" cy="2522680"/>
                  <wp:effectExtent l="0" t="0" r="6350" b="0"/>
                  <wp:docPr id="10" name="Obraz 10" descr="przyrost wedr1116_nuts3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zyrost wedr1116_nuts3_B"/>
                          <pic:cNvPicPr>
                            <a:picLocks noChangeAspect="1" noChangeArrowheads="1"/>
                          </pic:cNvPicPr>
                        </pic:nvPicPr>
                        <pic:blipFill>
                          <a:blip r:embed="rId36" cstate="print"/>
                          <a:srcRect/>
                          <a:stretch>
                            <a:fillRect/>
                          </a:stretch>
                        </pic:blipFill>
                        <pic:spPr bwMode="auto">
                          <a:xfrm>
                            <a:off x="0" y="0"/>
                            <a:ext cx="2719831" cy="2524159"/>
                          </a:xfrm>
                          <a:prstGeom prst="rect">
                            <a:avLst/>
                          </a:prstGeom>
                          <a:noFill/>
                          <a:ln w="9525">
                            <a:noFill/>
                            <a:miter lim="800000"/>
                            <a:headEnd/>
                            <a:tailEnd/>
                          </a:ln>
                        </pic:spPr>
                      </pic:pic>
                    </a:graphicData>
                  </a:graphic>
                </wp:inline>
              </w:drawing>
            </w:r>
          </w:p>
          <w:p w:rsidR="008A4860" w:rsidRPr="008A4860" w:rsidRDefault="008A4860" w:rsidP="008A4860">
            <w:pPr>
              <w:pStyle w:val="rdo0"/>
            </w:pPr>
            <w:r w:rsidRPr="00CB0324">
              <w:rPr>
                <w:color w:val="000000" w:themeColor="text1"/>
              </w:rPr>
              <w:lastRenderedPageBreak/>
              <w:t>Źródło: opracowanie własne na podstawie danych GUS.</w:t>
            </w:r>
          </w:p>
        </w:tc>
      </w:tr>
    </w:tbl>
    <w:p w:rsidR="008A4860" w:rsidRPr="008A4860" w:rsidRDefault="008A4860" w:rsidP="00BD2E92">
      <w:pPr>
        <w:pStyle w:val="TEKST"/>
        <w:spacing w:after="0"/>
        <w:rPr>
          <w:sz w:val="8"/>
          <w:szCs w:val="8"/>
        </w:rPr>
      </w:pPr>
    </w:p>
    <w:p w:rsidR="000C6BE4" w:rsidRPr="00AE35C1" w:rsidRDefault="000C6BE4" w:rsidP="005F49A2">
      <w:pPr>
        <w:pStyle w:val="RDO"/>
        <w:spacing w:after="300" w:line="288" w:lineRule="auto"/>
        <w:sectPr w:rsidR="000C6BE4" w:rsidRPr="00AE35C1" w:rsidSect="008A4860">
          <w:type w:val="continuous"/>
          <w:pgSz w:w="11906" w:h="16838"/>
          <w:pgMar w:top="1134" w:right="1276" w:bottom="1417" w:left="1417" w:header="708" w:footer="708" w:gutter="0"/>
          <w:cols w:num="2" w:space="454"/>
          <w:docGrid w:linePitch="360"/>
        </w:sectPr>
      </w:pPr>
    </w:p>
    <w:p w:rsidR="00BD2E92" w:rsidRPr="00AE35C1" w:rsidRDefault="000C6BE4" w:rsidP="005F49A2">
      <w:pPr>
        <w:spacing w:line="288" w:lineRule="auto"/>
        <w:jc w:val="both"/>
        <w:rPr>
          <w:rFonts w:cs="Arial"/>
          <w:color w:val="000000"/>
          <w:sz w:val="19"/>
          <w:szCs w:val="19"/>
        </w:rPr>
        <w:sectPr w:rsidR="00BD2E92" w:rsidRPr="00AE35C1" w:rsidSect="00E73C96">
          <w:type w:val="continuous"/>
          <w:pgSz w:w="11906" w:h="16838"/>
          <w:pgMar w:top="1571" w:right="1276" w:bottom="993" w:left="1417" w:header="708" w:footer="708" w:gutter="0"/>
          <w:cols w:num="2" w:space="454"/>
          <w:docGrid w:linePitch="360"/>
        </w:sectPr>
      </w:pPr>
      <w:r w:rsidRPr="00AE35C1">
        <w:rPr>
          <w:rFonts w:cs="Arial"/>
          <w:color w:val="000000"/>
          <w:sz w:val="19"/>
          <w:szCs w:val="19"/>
        </w:rPr>
        <w:lastRenderedPageBreak/>
        <w:t>Zmiana stylu życia ludności, coraz niższy przyrost naturalny, ruchy migracyjne wewnątrz i na zewnątrz województwa przyczyniają się do niepokojących zmian w</w:t>
      </w:r>
      <w:r w:rsidR="000666B0" w:rsidRPr="00AE35C1">
        <w:rPr>
          <w:rFonts w:cs="Arial"/>
          <w:color w:val="000000"/>
          <w:sz w:val="19"/>
          <w:szCs w:val="19"/>
        </w:rPr>
        <w:t> </w:t>
      </w:r>
      <w:r w:rsidRPr="00AE35C1">
        <w:rPr>
          <w:rFonts w:cs="Arial"/>
          <w:color w:val="000000"/>
          <w:sz w:val="19"/>
          <w:szCs w:val="19"/>
        </w:rPr>
        <w:t xml:space="preserve">liczbie i strukturze ludności w naszym kraju. Podobnie sytuacja wygląda na Dolnym Śląsku </w:t>
      </w:r>
      <w:r w:rsidR="00C20697" w:rsidRPr="00AE35C1">
        <w:rPr>
          <w:rFonts w:ascii="Times New Roman" w:hAnsi="Times New Roman"/>
          <w:color w:val="000000"/>
          <w:sz w:val="19"/>
          <w:szCs w:val="19"/>
        </w:rPr>
        <w:t>−</w:t>
      </w:r>
      <w:r w:rsidR="00C20697" w:rsidRPr="00AE35C1">
        <w:rPr>
          <w:rFonts w:cs="Arial"/>
          <w:color w:val="000000"/>
          <w:sz w:val="19"/>
          <w:szCs w:val="19"/>
        </w:rPr>
        <w:t xml:space="preserve"> w</w:t>
      </w:r>
      <w:r w:rsidRPr="00AE35C1">
        <w:rPr>
          <w:rFonts w:cs="Arial"/>
          <w:color w:val="000000"/>
          <w:sz w:val="19"/>
          <w:szCs w:val="19"/>
        </w:rPr>
        <w:t xml:space="preserve"> latach 2016-2030 prognozuje się średni spadek liczby ludności o</w:t>
      </w:r>
      <w:r w:rsidR="006210EE">
        <w:rPr>
          <w:rFonts w:cs="Arial"/>
          <w:color w:val="000000"/>
          <w:sz w:val="19"/>
          <w:szCs w:val="19"/>
        </w:rPr>
        <w:t> </w:t>
      </w:r>
      <w:r w:rsidRPr="00AE35C1">
        <w:rPr>
          <w:rFonts w:cs="Arial"/>
          <w:color w:val="000000"/>
          <w:sz w:val="19"/>
          <w:szCs w:val="19"/>
        </w:rPr>
        <w:t xml:space="preserve">prawie 6%. Zjawisko to szczególnie intensywnie </w:t>
      </w:r>
      <w:r w:rsidRPr="00AE35C1">
        <w:rPr>
          <w:rFonts w:cs="Arial"/>
          <w:color w:val="000000"/>
          <w:sz w:val="19"/>
          <w:szCs w:val="19"/>
        </w:rPr>
        <w:lastRenderedPageBreak/>
        <w:t xml:space="preserve">obserwowane </w:t>
      </w:r>
      <w:r w:rsidR="00C20697" w:rsidRPr="00AE35C1">
        <w:rPr>
          <w:rFonts w:cs="Arial"/>
          <w:color w:val="000000"/>
          <w:sz w:val="19"/>
          <w:szCs w:val="19"/>
        </w:rPr>
        <w:t xml:space="preserve">będzie </w:t>
      </w:r>
      <w:r w:rsidRPr="00AE35C1">
        <w:rPr>
          <w:rFonts w:cs="Arial"/>
          <w:color w:val="000000"/>
          <w:sz w:val="19"/>
          <w:szCs w:val="19"/>
        </w:rPr>
        <w:t>na obszarach wiejskich i w małych miastach (</w:t>
      </w:r>
      <w:r w:rsidR="00846B7B" w:rsidRPr="00AE35C1">
        <w:rPr>
          <w:rFonts w:cs="Arial"/>
          <w:color w:val="000000"/>
          <w:sz w:val="19"/>
          <w:szCs w:val="19"/>
        </w:rPr>
        <w:t xml:space="preserve">spadek nawet </w:t>
      </w:r>
      <w:r w:rsidRPr="00AE35C1">
        <w:rPr>
          <w:rFonts w:cs="Arial"/>
          <w:color w:val="000000"/>
          <w:sz w:val="19"/>
          <w:szCs w:val="19"/>
        </w:rPr>
        <w:t xml:space="preserve">o 20,1%). Przyrost liczby ludności </w:t>
      </w:r>
      <w:r w:rsidR="006F023B" w:rsidRPr="00AE35C1">
        <w:rPr>
          <w:rFonts w:cs="Arial"/>
          <w:color w:val="000000"/>
          <w:sz w:val="19"/>
          <w:szCs w:val="19"/>
        </w:rPr>
        <w:t xml:space="preserve">prognozowany jest </w:t>
      </w:r>
      <w:r w:rsidRPr="00AE35C1">
        <w:rPr>
          <w:rFonts w:cs="Arial"/>
          <w:color w:val="000000"/>
          <w:sz w:val="19"/>
          <w:szCs w:val="19"/>
        </w:rPr>
        <w:t xml:space="preserve">jedynie </w:t>
      </w:r>
      <w:r w:rsidR="006F023B" w:rsidRPr="00AE35C1">
        <w:rPr>
          <w:rFonts w:cs="Arial"/>
          <w:color w:val="000000"/>
          <w:sz w:val="19"/>
          <w:szCs w:val="19"/>
        </w:rPr>
        <w:t xml:space="preserve">w </w:t>
      </w:r>
      <w:r w:rsidRPr="00AE35C1">
        <w:rPr>
          <w:rFonts w:cs="Arial"/>
          <w:color w:val="000000"/>
          <w:sz w:val="19"/>
          <w:szCs w:val="19"/>
        </w:rPr>
        <w:t>gmin</w:t>
      </w:r>
      <w:r w:rsidR="006F023B" w:rsidRPr="00AE35C1">
        <w:rPr>
          <w:rFonts w:cs="Arial"/>
          <w:color w:val="000000"/>
          <w:sz w:val="19"/>
          <w:szCs w:val="19"/>
        </w:rPr>
        <w:t>ach</w:t>
      </w:r>
      <w:r w:rsidRPr="00AE35C1">
        <w:rPr>
          <w:rFonts w:cs="Arial"/>
          <w:color w:val="000000"/>
          <w:sz w:val="19"/>
          <w:szCs w:val="19"/>
        </w:rPr>
        <w:t xml:space="preserve"> położnych w</w:t>
      </w:r>
      <w:r w:rsidR="008A4860">
        <w:rPr>
          <w:rFonts w:cs="Arial"/>
          <w:color w:val="000000"/>
          <w:sz w:val="19"/>
          <w:szCs w:val="19"/>
        </w:rPr>
        <w:t> </w:t>
      </w:r>
      <w:r w:rsidRPr="00AE35C1">
        <w:rPr>
          <w:rFonts w:cs="Arial"/>
          <w:color w:val="000000"/>
          <w:sz w:val="19"/>
          <w:szCs w:val="19"/>
        </w:rPr>
        <w:t xml:space="preserve">sąsiedztwie dużych ośrodków miejskich (zjawisko </w:t>
      </w:r>
      <w:proofErr w:type="spellStart"/>
      <w:r w:rsidRPr="00AE35C1">
        <w:rPr>
          <w:rFonts w:cs="Arial"/>
          <w:color w:val="000000"/>
          <w:sz w:val="19"/>
          <w:szCs w:val="19"/>
        </w:rPr>
        <w:t>suburbanizacji</w:t>
      </w:r>
      <w:proofErr w:type="spellEnd"/>
      <w:r w:rsidRPr="00AE35C1">
        <w:rPr>
          <w:rFonts w:cs="Arial"/>
          <w:color w:val="000000"/>
          <w:sz w:val="19"/>
          <w:szCs w:val="19"/>
        </w:rPr>
        <w:t>)</w:t>
      </w:r>
      <w:r w:rsidR="006F023B" w:rsidRPr="00AE35C1">
        <w:rPr>
          <w:rFonts w:cs="Arial"/>
          <w:color w:val="000000"/>
          <w:sz w:val="19"/>
          <w:szCs w:val="19"/>
        </w:rPr>
        <w:t>,</w:t>
      </w:r>
      <w:r w:rsidRPr="00AE35C1">
        <w:rPr>
          <w:rFonts w:cs="Arial"/>
          <w:color w:val="000000"/>
          <w:sz w:val="19"/>
          <w:szCs w:val="19"/>
        </w:rPr>
        <w:t xml:space="preserve"> </w:t>
      </w:r>
      <w:r w:rsidR="006F023B" w:rsidRPr="00AE35C1">
        <w:rPr>
          <w:rFonts w:cs="Arial"/>
          <w:color w:val="000000"/>
          <w:sz w:val="19"/>
          <w:szCs w:val="19"/>
        </w:rPr>
        <w:t>które s</w:t>
      </w:r>
      <w:r w:rsidRPr="00AE35C1">
        <w:rPr>
          <w:rFonts w:cs="Arial"/>
          <w:color w:val="000000"/>
          <w:sz w:val="19"/>
          <w:szCs w:val="19"/>
        </w:rPr>
        <w:t xml:space="preserve">tanowią one niewiele ponad 20% wszystkich gmin w regionie. </w:t>
      </w:r>
    </w:p>
    <w:p w:rsidR="000C6BE4" w:rsidRPr="00AE35C1" w:rsidRDefault="00BD2E92" w:rsidP="008A4860">
      <w:pPr>
        <w:pStyle w:val="MAPA"/>
        <w:spacing w:before="300" w:line="288" w:lineRule="auto"/>
        <w:ind w:left="851" w:hanging="851"/>
        <w:jc w:val="both"/>
        <w:rPr>
          <w:rFonts w:ascii="Calibri" w:hAnsi="Calibri" w:cs="Calibri"/>
          <w:sz w:val="18"/>
          <w:szCs w:val="18"/>
        </w:rPr>
      </w:pPr>
      <w:r w:rsidRPr="00AE35C1">
        <w:rPr>
          <w:rFonts w:ascii="Calibri" w:hAnsi="Calibri" w:cs="Calibri"/>
          <w:sz w:val="18"/>
          <w:szCs w:val="18"/>
        </w:rPr>
        <w:lastRenderedPageBreak/>
        <w:t>m</w:t>
      </w:r>
      <w:r w:rsidR="000C6BE4" w:rsidRPr="00AE35C1">
        <w:rPr>
          <w:rFonts w:ascii="Calibri" w:hAnsi="Calibri" w:cs="Calibri"/>
          <w:sz w:val="18"/>
          <w:szCs w:val="18"/>
        </w:rPr>
        <w:t xml:space="preserve">APA </w:t>
      </w:r>
      <w:r w:rsidR="004964B3">
        <w:rPr>
          <w:rFonts w:ascii="Calibri" w:hAnsi="Calibri" w:cs="Calibri"/>
          <w:sz w:val="18"/>
          <w:szCs w:val="18"/>
        </w:rPr>
        <w:t>11</w:t>
      </w:r>
      <w:r w:rsidR="000C6BE4" w:rsidRPr="00AE35C1">
        <w:rPr>
          <w:rFonts w:ascii="Calibri" w:hAnsi="Calibri" w:cs="Calibri"/>
          <w:sz w:val="18"/>
          <w:szCs w:val="18"/>
        </w:rPr>
        <w:t>. Prognozowana ZMIANA liczbY ludności w</w:t>
      </w:r>
      <w:r w:rsidR="00703533" w:rsidRPr="00AE35C1">
        <w:rPr>
          <w:rFonts w:ascii="Calibri" w:hAnsi="Calibri" w:cs="Calibri"/>
          <w:sz w:val="18"/>
          <w:szCs w:val="18"/>
        </w:rPr>
        <w:t> </w:t>
      </w:r>
      <w:r w:rsidR="000C6BE4" w:rsidRPr="00AE35C1">
        <w:rPr>
          <w:rFonts w:ascii="Calibri" w:hAnsi="Calibri" w:cs="Calibri"/>
          <w:sz w:val="18"/>
          <w:szCs w:val="18"/>
        </w:rPr>
        <w:t xml:space="preserve">GMINACH </w:t>
      </w:r>
      <w:r w:rsidRPr="00AE35C1">
        <w:rPr>
          <w:rFonts w:ascii="Calibri" w:hAnsi="Calibri" w:cs="Calibri"/>
          <w:sz w:val="18"/>
          <w:szCs w:val="18"/>
        </w:rPr>
        <w:t xml:space="preserve">(A) I </w:t>
      </w:r>
      <w:r w:rsidR="00DD08A0">
        <w:rPr>
          <w:rFonts w:ascii="Calibri" w:hAnsi="Calibri" w:cs="Calibri"/>
          <w:sz w:val="18"/>
          <w:szCs w:val="18"/>
        </w:rPr>
        <w:t>sub</w:t>
      </w:r>
      <w:r w:rsidRPr="00AE35C1">
        <w:rPr>
          <w:rFonts w:ascii="Calibri" w:hAnsi="Calibri" w:cs="Calibri"/>
          <w:sz w:val="18"/>
          <w:szCs w:val="18"/>
        </w:rPr>
        <w:t xml:space="preserve">REGIONACH (B) </w:t>
      </w:r>
      <w:r w:rsidR="00644A74" w:rsidRPr="00AE35C1">
        <w:rPr>
          <w:rFonts w:ascii="Calibri" w:hAnsi="Calibri" w:cs="Calibri"/>
          <w:sz w:val="18"/>
          <w:szCs w:val="18"/>
        </w:rPr>
        <w:t xml:space="preserve">NA DOLNYM ŚLĄSKU </w:t>
      </w:r>
      <w:r w:rsidR="000C6BE4" w:rsidRPr="00AE35C1">
        <w:rPr>
          <w:rFonts w:ascii="Calibri" w:hAnsi="Calibri" w:cs="Calibri"/>
          <w:sz w:val="18"/>
          <w:szCs w:val="18"/>
        </w:rPr>
        <w:t>[2016-2030].</w:t>
      </w:r>
    </w:p>
    <w:tbl>
      <w:tblPr>
        <w:tblW w:w="0" w:type="auto"/>
        <w:tblLook w:val="04A0"/>
      </w:tblPr>
      <w:tblGrid>
        <w:gridCol w:w="4774"/>
        <w:gridCol w:w="4655"/>
      </w:tblGrid>
      <w:tr w:rsidR="00BD2E92" w:rsidRPr="00AE35C1" w:rsidTr="00E13EFC">
        <w:tc>
          <w:tcPr>
            <w:tcW w:w="4676" w:type="dxa"/>
            <w:shd w:val="clear" w:color="auto" w:fill="auto"/>
          </w:tcPr>
          <w:p w:rsidR="00BD2E92" w:rsidRPr="00AE35C1" w:rsidRDefault="0055701D" w:rsidP="008A4860">
            <w:pPr>
              <w:pStyle w:val="RDO"/>
              <w:spacing w:after="0" w:line="288" w:lineRule="auto"/>
              <w:jc w:val="left"/>
              <w:rPr>
                <w:rFonts w:cs="Calibri"/>
                <w:noProof/>
                <w:sz w:val="18"/>
                <w:szCs w:val="18"/>
              </w:rPr>
            </w:pPr>
            <w:r>
              <w:rPr>
                <w:rFonts w:cs="Calibri"/>
                <w:noProof/>
                <w:sz w:val="18"/>
                <w:szCs w:val="18"/>
              </w:rPr>
              <w:lastRenderedPageBreak/>
              <w:drawing>
                <wp:inline distT="0" distB="0" distL="0" distR="0">
                  <wp:extent cx="2876550" cy="2695575"/>
                  <wp:effectExtent l="19050" t="0" r="0" b="0"/>
                  <wp:docPr id="11" name="Obraz 11" descr="prognoza1630_EUROSTAT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gnoza1630_EUROSTAT_A"/>
                          <pic:cNvPicPr>
                            <a:picLocks noChangeAspect="1" noChangeArrowheads="1"/>
                          </pic:cNvPicPr>
                        </pic:nvPicPr>
                        <pic:blipFill>
                          <a:blip r:embed="rId37" cstate="print"/>
                          <a:srcRect/>
                          <a:stretch>
                            <a:fillRect/>
                          </a:stretch>
                        </pic:blipFill>
                        <pic:spPr bwMode="auto">
                          <a:xfrm>
                            <a:off x="0" y="0"/>
                            <a:ext cx="2876550" cy="2695575"/>
                          </a:xfrm>
                          <a:prstGeom prst="rect">
                            <a:avLst/>
                          </a:prstGeom>
                          <a:noFill/>
                          <a:ln w="9525">
                            <a:noFill/>
                            <a:miter lim="800000"/>
                            <a:headEnd/>
                            <a:tailEnd/>
                          </a:ln>
                        </pic:spPr>
                      </pic:pic>
                    </a:graphicData>
                  </a:graphic>
                </wp:inline>
              </w:drawing>
            </w:r>
          </w:p>
        </w:tc>
        <w:tc>
          <w:tcPr>
            <w:tcW w:w="4677" w:type="dxa"/>
            <w:shd w:val="clear" w:color="auto" w:fill="auto"/>
          </w:tcPr>
          <w:p w:rsidR="00BD2E92" w:rsidRPr="00AE35C1" w:rsidRDefault="0055701D" w:rsidP="008A4860">
            <w:pPr>
              <w:pStyle w:val="RDO"/>
              <w:spacing w:after="0" w:line="288" w:lineRule="auto"/>
              <w:jc w:val="left"/>
              <w:rPr>
                <w:rFonts w:cs="Calibri"/>
                <w:noProof/>
                <w:sz w:val="18"/>
                <w:szCs w:val="18"/>
              </w:rPr>
            </w:pPr>
            <w:r>
              <w:rPr>
                <w:rFonts w:cs="Calibri"/>
                <w:noProof/>
                <w:sz w:val="18"/>
                <w:szCs w:val="18"/>
              </w:rPr>
              <w:drawing>
                <wp:inline distT="0" distB="0" distL="0" distR="0">
                  <wp:extent cx="2818263" cy="2631623"/>
                  <wp:effectExtent l="0" t="0" r="1270" b="0"/>
                  <wp:docPr id="12" name="Obraz 12" descr="prognoza1630_nuts3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ognoza1630_nuts3_B"/>
                          <pic:cNvPicPr>
                            <a:picLocks noChangeAspect="1" noChangeArrowheads="1"/>
                          </pic:cNvPicPr>
                        </pic:nvPicPr>
                        <pic:blipFill>
                          <a:blip r:embed="rId38" cstate="print"/>
                          <a:srcRect/>
                          <a:stretch>
                            <a:fillRect/>
                          </a:stretch>
                        </pic:blipFill>
                        <pic:spPr bwMode="auto">
                          <a:xfrm>
                            <a:off x="0" y="0"/>
                            <a:ext cx="2819631" cy="2632900"/>
                          </a:xfrm>
                          <a:prstGeom prst="rect">
                            <a:avLst/>
                          </a:prstGeom>
                          <a:noFill/>
                          <a:ln w="9525">
                            <a:noFill/>
                            <a:miter lim="800000"/>
                            <a:headEnd/>
                            <a:tailEnd/>
                          </a:ln>
                        </pic:spPr>
                      </pic:pic>
                    </a:graphicData>
                  </a:graphic>
                </wp:inline>
              </w:drawing>
            </w:r>
          </w:p>
        </w:tc>
      </w:tr>
    </w:tbl>
    <w:p w:rsidR="00BD2E92" w:rsidRPr="00AE35C1" w:rsidRDefault="002237EA" w:rsidP="003557AE">
      <w:pPr>
        <w:pStyle w:val="RDO"/>
        <w:spacing w:line="288" w:lineRule="auto"/>
        <w:jc w:val="left"/>
        <w:rPr>
          <w:color w:val="000000"/>
        </w:rPr>
      </w:pPr>
      <w:r w:rsidRPr="00AE35C1">
        <w:rPr>
          <w:color w:val="000000"/>
        </w:rPr>
        <w:t>Ź</w:t>
      </w:r>
      <w:r w:rsidR="000C6BE4" w:rsidRPr="00AE35C1">
        <w:rPr>
          <w:color w:val="000000"/>
        </w:rPr>
        <w:t>ródło: Prognoza demograficzna dla gmin województwa doln</w:t>
      </w:r>
      <w:r w:rsidR="00941884" w:rsidRPr="00AE35C1">
        <w:rPr>
          <w:color w:val="000000"/>
        </w:rPr>
        <w:t>ośląskiego do 2035 roku, IRT</w:t>
      </w:r>
      <w:r w:rsidR="000C6BE4" w:rsidRPr="00AE35C1">
        <w:rPr>
          <w:color w:val="000000"/>
        </w:rPr>
        <w:t>.</w:t>
      </w:r>
    </w:p>
    <w:tbl>
      <w:tblPr>
        <w:tblW w:w="9214" w:type="dxa"/>
        <w:tblBorders>
          <w:insideH w:val="single" w:sz="18" w:space="0" w:color="FFFFFF"/>
          <w:insideV w:val="single" w:sz="18" w:space="0" w:color="FFFFFF"/>
        </w:tblBorders>
        <w:tblLook w:val="04A0"/>
      </w:tblPr>
      <w:tblGrid>
        <w:gridCol w:w="2410"/>
        <w:gridCol w:w="6804"/>
      </w:tblGrid>
      <w:tr w:rsidR="000C6BE4" w:rsidRPr="00AE35C1" w:rsidTr="008A4860">
        <w:trPr>
          <w:tblHeader/>
        </w:trPr>
        <w:tc>
          <w:tcPr>
            <w:tcW w:w="2410" w:type="dxa"/>
            <w:shd w:val="clear" w:color="auto" w:fill="F2F2F2"/>
          </w:tcPr>
          <w:p w:rsidR="000C6BE4" w:rsidRPr="00AE35C1" w:rsidRDefault="000C6BE4" w:rsidP="008A4860">
            <w:pPr>
              <w:spacing w:before="60" w:after="0" w:line="288" w:lineRule="auto"/>
              <w:jc w:val="center"/>
              <w:rPr>
                <w:b/>
                <w:color w:val="000000"/>
                <w:sz w:val="18"/>
                <w:szCs w:val="18"/>
              </w:rPr>
            </w:pPr>
            <w:r w:rsidRPr="00AE35C1">
              <w:rPr>
                <w:rFonts w:eastAsia="Times New Roman" w:cs="Arial"/>
                <w:b/>
                <w:caps/>
                <w:color w:val="000000"/>
                <w:sz w:val="18"/>
                <w:szCs w:val="18"/>
              </w:rPr>
              <w:t>MOCNE STRONY</w:t>
            </w:r>
          </w:p>
        </w:tc>
        <w:tc>
          <w:tcPr>
            <w:tcW w:w="6804" w:type="dxa"/>
            <w:shd w:val="clear" w:color="auto" w:fill="F2F2F2"/>
          </w:tcPr>
          <w:p w:rsidR="000C6BE4" w:rsidRPr="00AE35C1" w:rsidRDefault="000C6BE4" w:rsidP="008A4860">
            <w:pPr>
              <w:spacing w:before="60" w:after="0" w:line="288" w:lineRule="auto"/>
              <w:jc w:val="center"/>
              <w:rPr>
                <w:b/>
                <w:color w:val="000000"/>
                <w:sz w:val="18"/>
                <w:szCs w:val="18"/>
              </w:rPr>
            </w:pPr>
            <w:r w:rsidRPr="00AE35C1">
              <w:rPr>
                <w:rFonts w:eastAsia="Times New Roman" w:cs="Arial"/>
                <w:b/>
                <w:caps/>
                <w:color w:val="000000"/>
                <w:sz w:val="18"/>
                <w:szCs w:val="18"/>
              </w:rPr>
              <w:t>SŁABE STRONY</w:t>
            </w:r>
          </w:p>
        </w:tc>
      </w:tr>
      <w:tr w:rsidR="000C6BE4" w:rsidRPr="00AE35C1" w:rsidTr="008A4860">
        <w:tc>
          <w:tcPr>
            <w:tcW w:w="2410" w:type="dxa"/>
            <w:shd w:val="clear" w:color="auto" w:fill="F2F2F2"/>
          </w:tcPr>
          <w:p w:rsidR="000C6BE4" w:rsidRPr="008A4860" w:rsidRDefault="000C6BE4" w:rsidP="008A4860">
            <w:pPr>
              <w:pStyle w:val="Akapitzlist"/>
              <w:numPr>
                <w:ilvl w:val="0"/>
                <w:numId w:val="16"/>
              </w:numPr>
              <w:spacing w:after="0" w:line="264" w:lineRule="auto"/>
              <w:ind w:left="318" w:hanging="284"/>
              <w:rPr>
                <w:color w:val="000000"/>
                <w:sz w:val="16"/>
                <w:szCs w:val="16"/>
              </w:rPr>
            </w:pPr>
            <w:r w:rsidRPr="008A4860">
              <w:rPr>
                <w:color w:val="000000"/>
                <w:sz w:val="16"/>
                <w:szCs w:val="16"/>
              </w:rPr>
              <w:t>dynamiczny rozwój demograficzny Wrocławskiego Obszaru Funkcjonalnego</w:t>
            </w:r>
            <w:r w:rsidR="00337035" w:rsidRPr="008A4860">
              <w:rPr>
                <w:color w:val="000000"/>
                <w:sz w:val="16"/>
                <w:szCs w:val="16"/>
              </w:rPr>
              <w:t>,</w:t>
            </w:r>
          </w:p>
          <w:p w:rsidR="000C6BE4" w:rsidRPr="008A4860" w:rsidRDefault="000C6BE4" w:rsidP="008A4860">
            <w:pPr>
              <w:pStyle w:val="Akapitzlist"/>
              <w:numPr>
                <w:ilvl w:val="0"/>
                <w:numId w:val="16"/>
              </w:numPr>
              <w:spacing w:before="60" w:after="60" w:line="264" w:lineRule="auto"/>
              <w:ind w:left="318" w:hanging="284"/>
              <w:rPr>
                <w:rFonts w:cs="Arial"/>
                <w:color w:val="000000"/>
                <w:sz w:val="16"/>
                <w:szCs w:val="16"/>
              </w:rPr>
            </w:pPr>
            <w:r w:rsidRPr="008A4860">
              <w:rPr>
                <w:rFonts w:cs="Arial"/>
                <w:color w:val="000000"/>
                <w:sz w:val="16"/>
                <w:szCs w:val="16"/>
              </w:rPr>
              <w:t>wysoki wskaźnik urbanizacji.</w:t>
            </w:r>
          </w:p>
        </w:tc>
        <w:tc>
          <w:tcPr>
            <w:tcW w:w="6804" w:type="dxa"/>
            <w:shd w:val="clear" w:color="auto" w:fill="F2F2F2"/>
          </w:tcPr>
          <w:p w:rsidR="000C6BE4" w:rsidRPr="008A4860" w:rsidRDefault="000C6BE4" w:rsidP="008A4860">
            <w:pPr>
              <w:pStyle w:val="Akapitzlist"/>
              <w:numPr>
                <w:ilvl w:val="0"/>
                <w:numId w:val="26"/>
              </w:numPr>
              <w:spacing w:after="0" w:line="264" w:lineRule="auto"/>
              <w:ind w:left="336" w:hanging="284"/>
              <w:jc w:val="both"/>
              <w:rPr>
                <w:color w:val="000000"/>
                <w:sz w:val="16"/>
                <w:szCs w:val="16"/>
              </w:rPr>
            </w:pPr>
            <w:r w:rsidRPr="008A4860">
              <w:rPr>
                <w:color w:val="000000"/>
                <w:sz w:val="16"/>
                <w:szCs w:val="16"/>
              </w:rPr>
              <w:t>dysproporcje w poziomie zaludnienia w regionie,</w:t>
            </w:r>
          </w:p>
          <w:p w:rsidR="000C6BE4" w:rsidRPr="008A4860" w:rsidRDefault="000C6BE4" w:rsidP="008A4860">
            <w:pPr>
              <w:pStyle w:val="Akapitzlist"/>
              <w:numPr>
                <w:ilvl w:val="0"/>
                <w:numId w:val="24"/>
              </w:numPr>
              <w:spacing w:before="60" w:after="60" w:line="264" w:lineRule="auto"/>
              <w:ind w:left="318" w:hanging="284"/>
              <w:jc w:val="both"/>
              <w:rPr>
                <w:color w:val="000000"/>
                <w:sz w:val="16"/>
                <w:szCs w:val="16"/>
              </w:rPr>
            </w:pPr>
            <w:r w:rsidRPr="008A4860">
              <w:rPr>
                <w:color w:val="000000"/>
                <w:sz w:val="16"/>
                <w:szCs w:val="16"/>
              </w:rPr>
              <w:t xml:space="preserve">pogłębiający się proces depopulacji województwa, w szczególności </w:t>
            </w:r>
            <w:r w:rsidRPr="008A4860">
              <w:rPr>
                <w:rFonts w:cs="Arial"/>
                <w:color w:val="000000"/>
                <w:sz w:val="16"/>
                <w:szCs w:val="16"/>
              </w:rPr>
              <w:t>wyludnianie się terenów wiejskich na obszarach peryferyjnych regionu (Sudety),</w:t>
            </w:r>
          </w:p>
          <w:p w:rsidR="000C6BE4" w:rsidRPr="008A4860" w:rsidRDefault="000C6BE4" w:rsidP="008A4860">
            <w:pPr>
              <w:pStyle w:val="Akapitzlist"/>
              <w:numPr>
                <w:ilvl w:val="0"/>
                <w:numId w:val="24"/>
              </w:numPr>
              <w:spacing w:before="60" w:after="60" w:line="264" w:lineRule="auto"/>
              <w:ind w:left="318" w:hanging="284"/>
              <w:jc w:val="both"/>
              <w:rPr>
                <w:rFonts w:cs="Arial"/>
                <w:color w:val="000000"/>
                <w:sz w:val="16"/>
                <w:szCs w:val="16"/>
              </w:rPr>
            </w:pPr>
            <w:r w:rsidRPr="008A4860">
              <w:rPr>
                <w:rFonts w:cs="Arial"/>
                <w:color w:val="000000"/>
                <w:sz w:val="16"/>
                <w:szCs w:val="16"/>
              </w:rPr>
              <w:t>spadek liczby mieszkańców w miastach średnich i dużych,</w:t>
            </w:r>
          </w:p>
          <w:p w:rsidR="000C6BE4" w:rsidRPr="008A4860" w:rsidRDefault="000C6BE4" w:rsidP="008A4860">
            <w:pPr>
              <w:pStyle w:val="Akapitzlist"/>
              <w:numPr>
                <w:ilvl w:val="0"/>
                <w:numId w:val="26"/>
              </w:numPr>
              <w:spacing w:after="0" w:line="264" w:lineRule="auto"/>
              <w:ind w:left="336" w:hanging="284"/>
              <w:jc w:val="both"/>
              <w:rPr>
                <w:color w:val="000000"/>
                <w:sz w:val="16"/>
                <w:szCs w:val="16"/>
              </w:rPr>
            </w:pPr>
            <w:r w:rsidRPr="008A4860">
              <w:rPr>
                <w:color w:val="000000"/>
                <w:sz w:val="16"/>
                <w:szCs w:val="16"/>
              </w:rPr>
              <w:t xml:space="preserve">niekorzystne przekształcenia struktury ludności według wieku, </w:t>
            </w:r>
          </w:p>
          <w:p w:rsidR="000C6BE4" w:rsidRPr="008A4860" w:rsidRDefault="000C6BE4" w:rsidP="008A4860">
            <w:pPr>
              <w:pStyle w:val="Akapitzlist"/>
              <w:numPr>
                <w:ilvl w:val="0"/>
                <w:numId w:val="26"/>
              </w:numPr>
              <w:spacing w:after="0" w:line="264" w:lineRule="auto"/>
              <w:ind w:left="336" w:hanging="284"/>
              <w:jc w:val="both"/>
              <w:rPr>
                <w:color w:val="000000"/>
                <w:sz w:val="16"/>
                <w:szCs w:val="16"/>
              </w:rPr>
            </w:pPr>
            <w:r w:rsidRPr="008A4860">
              <w:rPr>
                <w:color w:val="000000"/>
                <w:sz w:val="16"/>
                <w:szCs w:val="16"/>
              </w:rPr>
              <w:t>ujemny przyrost naturalny i ujemne saldo migracji obserwowane w szczególności w powiatach usytuowanych w południowo-zachodniej części województwa.</w:t>
            </w:r>
          </w:p>
        </w:tc>
      </w:tr>
    </w:tbl>
    <w:p w:rsidR="000C6BE4" w:rsidRPr="00AE35C1" w:rsidRDefault="000C6BE4" w:rsidP="00814A82">
      <w:pPr>
        <w:pStyle w:val="Nagwek3"/>
        <w:sectPr w:rsidR="000C6BE4" w:rsidRPr="00AE35C1" w:rsidSect="00E73C96">
          <w:type w:val="continuous"/>
          <w:pgSz w:w="11906" w:h="16838"/>
          <w:pgMar w:top="1276" w:right="1276" w:bottom="1417" w:left="1417" w:header="708" w:footer="708" w:gutter="0"/>
          <w:cols w:space="708"/>
          <w:titlePg/>
          <w:docGrid w:linePitch="360"/>
        </w:sectPr>
      </w:pPr>
    </w:p>
    <w:p w:rsidR="000C6BE4" w:rsidRPr="00AE35C1" w:rsidRDefault="000C6BE4" w:rsidP="00814A82">
      <w:pPr>
        <w:pStyle w:val="Nagwek3"/>
      </w:pPr>
      <w:bookmarkStart w:id="28" w:name="_Toc499582765"/>
      <w:bookmarkStart w:id="29" w:name="_Toc511716309"/>
      <w:r w:rsidRPr="00AE35C1">
        <w:lastRenderedPageBreak/>
        <w:t>KAPITAŁ LUDZKI</w:t>
      </w:r>
      <w:bookmarkEnd w:id="28"/>
      <w:r w:rsidR="001251C7" w:rsidRPr="00AE35C1">
        <w:t xml:space="preserve"> I INFRASTRUKTURA SPOŁECZNA</w:t>
      </w:r>
      <w:bookmarkEnd w:id="29"/>
    </w:p>
    <w:p w:rsidR="009E03A0" w:rsidRPr="00AE35C1" w:rsidRDefault="000C6BE4" w:rsidP="00805450">
      <w:pPr>
        <w:pStyle w:val="TEKST"/>
        <w:spacing w:after="0"/>
        <w:rPr>
          <w:rStyle w:val="TEKSTZnak"/>
          <w:sz w:val="19"/>
          <w:szCs w:val="19"/>
        </w:rPr>
      </w:pPr>
      <w:r w:rsidRPr="00AE35C1">
        <w:rPr>
          <w:b/>
        </w:rPr>
        <w:t xml:space="preserve">Edukacja i wychowanie przedszkolne. </w:t>
      </w:r>
      <w:r w:rsidRPr="00AE35C1">
        <w:rPr>
          <w:sz w:val="19"/>
          <w:szCs w:val="19"/>
        </w:rPr>
        <w:t xml:space="preserve">W latach 2010-2016 w regionie zwiększyła się o 35,5% liczba dostępnych </w:t>
      </w:r>
      <w:r w:rsidR="0077724C" w:rsidRPr="00AE35C1">
        <w:rPr>
          <w:b/>
          <w:sz w:val="19"/>
          <w:szCs w:val="19"/>
        </w:rPr>
        <w:t xml:space="preserve">miejsc w placówkach wychowania </w:t>
      </w:r>
      <w:r w:rsidRPr="00AE35C1">
        <w:rPr>
          <w:b/>
          <w:sz w:val="19"/>
          <w:szCs w:val="19"/>
        </w:rPr>
        <w:t>przedszkolnego</w:t>
      </w:r>
      <w:r w:rsidRPr="00AE35C1">
        <w:rPr>
          <w:sz w:val="19"/>
          <w:szCs w:val="19"/>
        </w:rPr>
        <w:t xml:space="preserve"> (o 22 354 miejsca). W 2016 roku na 1 000 dzieci w wieku 3-5 lat przypadało 819 dzieci objętych wychowan</w:t>
      </w:r>
      <w:r w:rsidR="00AC3ED7" w:rsidRPr="00AE35C1">
        <w:rPr>
          <w:sz w:val="19"/>
          <w:szCs w:val="19"/>
        </w:rPr>
        <w:t xml:space="preserve">iem przedszkolnym (6. </w:t>
      </w:r>
      <w:r w:rsidR="0050133B" w:rsidRPr="00AE35C1">
        <w:rPr>
          <w:sz w:val="19"/>
          <w:szCs w:val="19"/>
        </w:rPr>
        <w:t xml:space="preserve">miejsce </w:t>
      </w:r>
      <w:r w:rsidR="00AC3ED7" w:rsidRPr="00AE35C1">
        <w:rPr>
          <w:sz w:val="19"/>
          <w:szCs w:val="19"/>
        </w:rPr>
        <w:t>w </w:t>
      </w:r>
      <w:r w:rsidRPr="00AE35C1">
        <w:rPr>
          <w:sz w:val="19"/>
          <w:szCs w:val="19"/>
        </w:rPr>
        <w:t xml:space="preserve">kraju). </w:t>
      </w:r>
      <w:r w:rsidR="00AB6BCA" w:rsidRPr="00AE35C1">
        <w:rPr>
          <w:rStyle w:val="TEKSTZnak"/>
          <w:sz w:val="19"/>
          <w:szCs w:val="19"/>
        </w:rPr>
        <w:t>Wskaźnik uczestnictwa 4-latków w edukacji</w:t>
      </w:r>
      <w:r w:rsidR="00905F49">
        <w:rPr>
          <w:rStyle w:val="TEKSTZnak"/>
          <w:sz w:val="19"/>
          <w:szCs w:val="19"/>
        </w:rPr>
        <w:t xml:space="preserve"> </w:t>
      </w:r>
      <w:r w:rsidR="00AB6BCA" w:rsidRPr="00AE35C1">
        <w:rPr>
          <w:rStyle w:val="TEKSTZnak"/>
          <w:sz w:val="19"/>
          <w:szCs w:val="19"/>
        </w:rPr>
        <w:t>przedszkolnej i podstawowej w 2015 roku wyraźnie pokazuje, iż polskie regiony znacznie odstają od średniej europejskiej (UE-28), która w 2015 roku wyniosła 93,3%. W polskich regionach wskaźnik ten przyjm</w:t>
      </w:r>
      <w:r w:rsidR="00EB6D91" w:rsidRPr="00AE35C1">
        <w:rPr>
          <w:rStyle w:val="TEKSTZnak"/>
          <w:sz w:val="19"/>
          <w:szCs w:val="19"/>
        </w:rPr>
        <w:t>ował</w:t>
      </w:r>
      <w:r w:rsidR="00AB6BCA" w:rsidRPr="00AE35C1">
        <w:rPr>
          <w:rStyle w:val="TEKSTZnak"/>
          <w:sz w:val="19"/>
          <w:szCs w:val="19"/>
        </w:rPr>
        <w:t xml:space="preserve"> wartości poniżej 90%, a w niektórych przypadkach nawet poniżej </w:t>
      </w:r>
      <w:r w:rsidR="00C32CB9" w:rsidRPr="00AE35C1">
        <w:rPr>
          <w:rStyle w:val="TEKSTZnak"/>
          <w:sz w:val="19"/>
          <w:szCs w:val="19"/>
        </w:rPr>
        <w:t xml:space="preserve">70%. Dolny Śląsk osiągnął </w:t>
      </w:r>
      <w:r w:rsidR="00805450" w:rsidRPr="00AE35C1">
        <w:rPr>
          <w:rStyle w:val="TEKSTZnak"/>
          <w:sz w:val="19"/>
          <w:szCs w:val="19"/>
        </w:rPr>
        <w:t>udział ten wynosił 71,3</w:t>
      </w:r>
      <w:r w:rsidR="00C32CB9" w:rsidRPr="00AE35C1">
        <w:rPr>
          <w:rStyle w:val="TEKSTZnak"/>
          <w:sz w:val="19"/>
          <w:szCs w:val="19"/>
        </w:rPr>
        <w:t>%.</w:t>
      </w:r>
    </w:p>
    <w:tbl>
      <w:tblPr>
        <w:tblW w:w="0" w:type="auto"/>
        <w:tblLook w:val="04A0"/>
      </w:tblPr>
      <w:tblGrid>
        <w:gridCol w:w="4476"/>
      </w:tblGrid>
      <w:tr w:rsidR="00742928" w:rsidRPr="00AE35C1" w:rsidTr="00BB583E">
        <w:tc>
          <w:tcPr>
            <w:tcW w:w="4379" w:type="dxa"/>
            <w:shd w:val="clear" w:color="auto" w:fill="auto"/>
          </w:tcPr>
          <w:p w:rsidR="00742928" w:rsidRPr="00AE35C1" w:rsidRDefault="00742928" w:rsidP="00BB583E">
            <w:pPr>
              <w:pStyle w:val="MAPA"/>
              <w:spacing w:line="288" w:lineRule="auto"/>
              <w:ind w:left="567" w:hanging="567"/>
              <w:jc w:val="both"/>
            </w:pPr>
            <w:r w:rsidRPr="00AE35C1">
              <w:t>MAPA 1</w:t>
            </w:r>
            <w:r w:rsidR="004964B3">
              <w:t>2</w:t>
            </w:r>
            <w:r w:rsidRPr="00AE35C1">
              <w:t xml:space="preserve">. Liczba dzieci w placówkach wychowania przedszkolnego na 1 000 dzieci w wieku 3-5 lat w gminach </w:t>
            </w:r>
            <w:r w:rsidR="0077724C" w:rsidRPr="00AE35C1">
              <w:t>(A) I </w:t>
            </w:r>
            <w:r w:rsidR="00DD08A0">
              <w:t>sub</w:t>
            </w:r>
            <w:r w:rsidR="0077724C" w:rsidRPr="00AE35C1">
              <w:t xml:space="preserve">REGIONACH (B) </w:t>
            </w:r>
            <w:r w:rsidRPr="00AE35C1">
              <w:t xml:space="preserve">Dolnego Śląska [2016]. </w:t>
            </w:r>
          </w:p>
          <w:p w:rsidR="00742928" w:rsidRPr="00AE35C1" w:rsidRDefault="0055701D" w:rsidP="00E13EFC">
            <w:pPr>
              <w:pStyle w:val="TEKST"/>
              <w:spacing w:after="0"/>
              <w:jc w:val="center"/>
              <w:rPr>
                <w:rStyle w:val="TEKSTZnak"/>
              </w:rPr>
            </w:pPr>
            <w:r>
              <w:rPr>
                <w:noProof/>
                <w:lang w:eastAsia="pl-PL"/>
              </w:rPr>
              <w:lastRenderedPageBreak/>
              <w:drawing>
                <wp:inline distT="0" distB="0" distL="0" distR="0">
                  <wp:extent cx="2686050" cy="2514600"/>
                  <wp:effectExtent l="19050" t="0" r="0" b="0"/>
                  <wp:docPr id="13" name="Obraz 13" descr="przedszkola_050218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zedszkola_050218_A"/>
                          <pic:cNvPicPr>
                            <a:picLocks noChangeAspect="1" noChangeArrowheads="1"/>
                          </pic:cNvPicPr>
                        </pic:nvPicPr>
                        <pic:blipFill>
                          <a:blip r:embed="rId39" cstate="print"/>
                          <a:srcRect/>
                          <a:stretch>
                            <a:fillRect/>
                          </a:stretch>
                        </pic:blipFill>
                        <pic:spPr bwMode="auto">
                          <a:xfrm>
                            <a:off x="0" y="0"/>
                            <a:ext cx="2686050" cy="2514600"/>
                          </a:xfrm>
                          <a:prstGeom prst="rect">
                            <a:avLst/>
                          </a:prstGeom>
                          <a:noFill/>
                          <a:ln w="9525">
                            <a:noFill/>
                            <a:miter lim="800000"/>
                            <a:headEnd/>
                            <a:tailEnd/>
                          </a:ln>
                        </pic:spPr>
                      </pic:pic>
                    </a:graphicData>
                  </a:graphic>
                </wp:inline>
              </w:drawing>
            </w:r>
          </w:p>
        </w:tc>
      </w:tr>
      <w:tr w:rsidR="00742928" w:rsidRPr="00AE35C1" w:rsidTr="00BB583E">
        <w:tc>
          <w:tcPr>
            <w:tcW w:w="4379" w:type="dxa"/>
            <w:shd w:val="clear" w:color="auto" w:fill="auto"/>
          </w:tcPr>
          <w:p w:rsidR="00742928" w:rsidRPr="00AE35C1" w:rsidRDefault="0055701D" w:rsidP="00E13EFC">
            <w:pPr>
              <w:pStyle w:val="RDO"/>
              <w:spacing w:before="240" w:line="288" w:lineRule="auto"/>
              <w:rPr>
                <w:color w:val="000000"/>
              </w:rPr>
            </w:pPr>
            <w:r>
              <w:rPr>
                <w:noProof/>
                <w:color w:val="000000"/>
              </w:rPr>
              <w:lastRenderedPageBreak/>
              <w:drawing>
                <wp:inline distT="0" distB="0" distL="0" distR="0">
                  <wp:extent cx="2686050" cy="2513050"/>
                  <wp:effectExtent l="0" t="0" r="0" b="1905"/>
                  <wp:docPr id="14" name="Obraz 14" descr="przedszkola_nuts3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zedszkola_nuts3_B"/>
                          <pic:cNvPicPr>
                            <a:picLocks noChangeAspect="1" noChangeArrowheads="1"/>
                          </pic:cNvPicPr>
                        </pic:nvPicPr>
                        <pic:blipFill>
                          <a:blip r:embed="rId40" cstate="print"/>
                          <a:srcRect/>
                          <a:stretch>
                            <a:fillRect/>
                          </a:stretch>
                        </pic:blipFill>
                        <pic:spPr bwMode="auto">
                          <a:xfrm>
                            <a:off x="0" y="0"/>
                            <a:ext cx="2690851" cy="2517542"/>
                          </a:xfrm>
                          <a:prstGeom prst="rect">
                            <a:avLst/>
                          </a:prstGeom>
                          <a:noFill/>
                          <a:ln w="9525">
                            <a:noFill/>
                            <a:miter lim="800000"/>
                            <a:headEnd/>
                            <a:tailEnd/>
                          </a:ln>
                        </pic:spPr>
                      </pic:pic>
                    </a:graphicData>
                  </a:graphic>
                </wp:inline>
              </w:drawing>
            </w:r>
          </w:p>
          <w:p w:rsidR="00742928" w:rsidRPr="00AE35C1" w:rsidRDefault="00742928" w:rsidP="00E13EFC">
            <w:pPr>
              <w:pStyle w:val="RDO"/>
              <w:spacing w:line="288" w:lineRule="auto"/>
              <w:rPr>
                <w:rStyle w:val="TEKSTZnak"/>
                <w:sz w:val="16"/>
                <w:szCs w:val="16"/>
              </w:rPr>
            </w:pPr>
            <w:r w:rsidRPr="00AE35C1">
              <w:rPr>
                <w:color w:val="000000"/>
              </w:rPr>
              <w:t>Źródło: opracowanie własne na podstawie danych GUS.</w:t>
            </w:r>
          </w:p>
        </w:tc>
      </w:tr>
    </w:tbl>
    <w:p w:rsidR="000C6BE4" w:rsidRPr="00AE35C1" w:rsidRDefault="0077724C" w:rsidP="004B45E8">
      <w:pPr>
        <w:pStyle w:val="MAPA"/>
        <w:spacing w:before="0" w:line="288" w:lineRule="auto"/>
        <w:jc w:val="both"/>
      </w:pPr>
      <w:r w:rsidRPr="00AE35C1">
        <w:br w:type="column"/>
      </w:r>
      <w:r w:rsidR="000C6BE4" w:rsidRPr="00AE35C1">
        <w:lastRenderedPageBreak/>
        <w:t>MAPA 1</w:t>
      </w:r>
      <w:r w:rsidR="004964B3">
        <w:t>3</w:t>
      </w:r>
      <w:r w:rsidR="000C6BE4" w:rsidRPr="00AE35C1">
        <w:t>. Wskaźniki uczestnictwa 4-latków w edukacji przedszkolnej i podstawowej W regionach nuts2 w europie [2015].</w:t>
      </w:r>
    </w:p>
    <w:p w:rsidR="000C6BE4" w:rsidRPr="00AE35C1" w:rsidRDefault="0055701D" w:rsidP="005F49A2">
      <w:pPr>
        <w:spacing w:before="120" w:after="0" w:line="288" w:lineRule="auto"/>
        <w:jc w:val="center"/>
        <w:rPr>
          <w:rFonts w:eastAsia="Times New Roman" w:cs="Arial"/>
          <w:color w:val="000000"/>
          <w:sz w:val="19"/>
          <w:szCs w:val="19"/>
        </w:rPr>
      </w:pPr>
      <w:r>
        <w:rPr>
          <w:rFonts w:eastAsia="Times New Roman" w:cs="Arial"/>
          <w:noProof/>
          <w:color w:val="000000"/>
          <w:sz w:val="19"/>
          <w:szCs w:val="19"/>
          <w:lang w:eastAsia="pl-PL"/>
        </w:rPr>
        <w:drawing>
          <wp:inline distT="0" distB="0" distL="0" distR="0">
            <wp:extent cx="2781300" cy="3476625"/>
            <wp:effectExtent l="19050" t="0" r="0" b="0"/>
            <wp:docPr id="15" name="Obraz 111" descr="C:\Users\kgmur\Desktop\edukac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1" descr="C:\Users\kgmur\Desktop\edukacja.jpg"/>
                    <pic:cNvPicPr>
                      <a:picLocks noChangeAspect="1" noChangeArrowheads="1"/>
                    </pic:cNvPicPr>
                  </pic:nvPicPr>
                  <pic:blipFill>
                    <a:blip r:embed="rId41" cstate="print"/>
                    <a:srcRect/>
                    <a:stretch>
                      <a:fillRect/>
                    </a:stretch>
                  </pic:blipFill>
                  <pic:spPr bwMode="auto">
                    <a:xfrm>
                      <a:off x="0" y="0"/>
                      <a:ext cx="2781300" cy="3476625"/>
                    </a:xfrm>
                    <a:prstGeom prst="rect">
                      <a:avLst/>
                    </a:prstGeom>
                    <a:noFill/>
                    <a:ln w="9525">
                      <a:noFill/>
                      <a:miter lim="800000"/>
                      <a:headEnd/>
                      <a:tailEnd/>
                    </a:ln>
                  </pic:spPr>
                </pic:pic>
              </a:graphicData>
            </a:graphic>
          </wp:inline>
        </w:drawing>
      </w:r>
    </w:p>
    <w:p w:rsidR="000C6BE4" w:rsidRPr="00D113CA" w:rsidRDefault="00DF7C1C" w:rsidP="005F49A2">
      <w:pPr>
        <w:spacing w:after="120" w:line="288" w:lineRule="auto"/>
        <w:rPr>
          <w:i/>
          <w:color w:val="000000"/>
          <w:sz w:val="16"/>
          <w:szCs w:val="16"/>
        </w:rPr>
      </w:pPr>
      <w:r w:rsidRPr="00D113CA">
        <w:rPr>
          <w:i/>
          <w:color w:val="000000"/>
          <w:sz w:val="16"/>
          <w:szCs w:val="16"/>
        </w:rPr>
        <w:t xml:space="preserve">Źródło: </w:t>
      </w:r>
      <w:proofErr w:type="spellStart"/>
      <w:r w:rsidRPr="00D113CA">
        <w:rPr>
          <w:i/>
          <w:color w:val="000000"/>
          <w:sz w:val="16"/>
          <w:szCs w:val="16"/>
        </w:rPr>
        <w:t>Eurostat</w:t>
      </w:r>
      <w:proofErr w:type="spellEnd"/>
      <w:r w:rsidRPr="00D113CA">
        <w:rPr>
          <w:i/>
          <w:color w:val="000000"/>
          <w:sz w:val="16"/>
          <w:szCs w:val="16"/>
        </w:rPr>
        <w:t xml:space="preserve"> </w:t>
      </w:r>
      <w:proofErr w:type="spellStart"/>
      <w:r w:rsidRPr="00D113CA">
        <w:rPr>
          <w:i/>
          <w:color w:val="000000"/>
          <w:sz w:val="16"/>
          <w:szCs w:val="16"/>
        </w:rPr>
        <w:t>regional</w:t>
      </w:r>
      <w:proofErr w:type="spellEnd"/>
      <w:r w:rsidRPr="00D113CA">
        <w:rPr>
          <w:i/>
          <w:color w:val="000000"/>
          <w:sz w:val="16"/>
          <w:szCs w:val="16"/>
        </w:rPr>
        <w:t xml:space="preserve"> </w:t>
      </w:r>
      <w:proofErr w:type="spellStart"/>
      <w:r w:rsidRPr="00D113CA">
        <w:rPr>
          <w:i/>
          <w:color w:val="000000"/>
          <w:sz w:val="16"/>
          <w:szCs w:val="16"/>
        </w:rPr>
        <w:t>yearbook</w:t>
      </w:r>
      <w:proofErr w:type="spellEnd"/>
      <w:r w:rsidRPr="00D113CA">
        <w:rPr>
          <w:i/>
          <w:color w:val="000000"/>
          <w:sz w:val="16"/>
          <w:szCs w:val="16"/>
        </w:rPr>
        <w:t>, , 2017.</w:t>
      </w:r>
    </w:p>
    <w:p w:rsidR="009E03A0" w:rsidRPr="00AE35C1" w:rsidRDefault="004B45E8" w:rsidP="00805450">
      <w:pPr>
        <w:spacing w:after="120" w:line="288" w:lineRule="auto"/>
        <w:jc w:val="both"/>
        <w:rPr>
          <w:rFonts w:cs="Arial"/>
          <w:color w:val="000000"/>
          <w:sz w:val="19"/>
          <w:szCs w:val="19"/>
        </w:rPr>
      </w:pPr>
      <w:r w:rsidRPr="00AE35C1">
        <w:rPr>
          <w:sz w:val="19"/>
          <w:szCs w:val="19"/>
        </w:rPr>
        <w:t>W 2016 roku na Dolnym Śląsku funkcjonowało: 804 szkoły podstawowe, 520 szkół gimnazjalnych, 263 licea ogólnokształcące, 134 technika i 174 zasadnicze szkoły zawodowe i przysposabiające do pracy zawodowej. We wszystkich typach szkół (oprócz szkół zawodowych i </w:t>
      </w:r>
      <w:proofErr w:type="spellStart"/>
      <w:r w:rsidRPr="00AE35C1">
        <w:rPr>
          <w:sz w:val="19"/>
          <w:szCs w:val="19"/>
        </w:rPr>
        <w:t>ogólnozawodowych</w:t>
      </w:r>
      <w:proofErr w:type="spellEnd"/>
      <w:r w:rsidRPr="00AE35C1">
        <w:rPr>
          <w:sz w:val="19"/>
          <w:szCs w:val="19"/>
        </w:rPr>
        <w:t xml:space="preserve">) wskaźnik </w:t>
      </w:r>
      <w:proofErr w:type="spellStart"/>
      <w:r w:rsidRPr="00AE35C1">
        <w:rPr>
          <w:sz w:val="19"/>
          <w:szCs w:val="19"/>
        </w:rPr>
        <w:t>skolaryzacji</w:t>
      </w:r>
      <w:proofErr w:type="spellEnd"/>
      <w:r w:rsidRPr="00AE35C1">
        <w:rPr>
          <w:sz w:val="19"/>
          <w:szCs w:val="19"/>
        </w:rPr>
        <w:t xml:space="preserve"> netto obniżył się w stosunku do 2010 roku. </w:t>
      </w:r>
      <w:r w:rsidR="009E03A0" w:rsidRPr="00AE35C1">
        <w:rPr>
          <w:rFonts w:cs="Arial"/>
          <w:color w:val="000000"/>
          <w:sz w:val="19"/>
          <w:szCs w:val="19"/>
        </w:rPr>
        <w:t xml:space="preserve">W 2016 roku </w:t>
      </w:r>
      <w:r w:rsidR="009E03A0" w:rsidRPr="00AE35C1">
        <w:rPr>
          <w:rFonts w:cs="Arial"/>
          <w:b/>
          <w:color w:val="000000"/>
          <w:sz w:val="19"/>
          <w:szCs w:val="19"/>
        </w:rPr>
        <w:t>zdawalność egzaminu maturalnego</w:t>
      </w:r>
      <w:r w:rsidR="009E03A0" w:rsidRPr="00AE35C1">
        <w:rPr>
          <w:rFonts w:cs="Arial"/>
          <w:color w:val="000000"/>
          <w:sz w:val="19"/>
          <w:szCs w:val="19"/>
        </w:rPr>
        <w:t xml:space="preserve"> na Dolnym Śląsku wyniosła 7</w:t>
      </w:r>
      <w:r w:rsidR="00846B7B" w:rsidRPr="00AE35C1">
        <w:rPr>
          <w:rFonts w:cs="Arial"/>
          <w:color w:val="000000"/>
          <w:sz w:val="19"/>
          <w:szCs w:val="19"/>
        </w:rPr>
        <w:t>7%, przy średniej zdawalności w </w:t>
      </w:r>
      <w:r w:rsidR="009E03A0" w:rsidRPr="00AE35C1">
        <w:rPr>
          <w:rFonts w:cs="Arial"/>
          <w:color w:val="000000"/>
          <w:sz w:val="19"/>
          <w:szCs w:val="19"/>
        </w:rPr>
        <w:t>kraju na poziomie 79%. W</w:t>
      </w:r>
      <w:r w:rsidR="00CB0324">
        <w:rPr>
          <w:rFonts w:cs="Arial"/>
          <w:color w:val="000000"/>
          <w:sz w:val="19"/>
          <w:szCs w:val="19"/>
        </w:rPr>
        <w:t> </w:t>
      </w:r>
      <w:r w:rsidR="009E03A0" w:rsidRPr="00AE35C1">
        <w:rPr>
          <w:rFonts w:cs="Arial"/>
          <w:color w:val="000000"/>
          <w:sz w:val="19"/>
          <w:szCs w:val="19"/>
        </w:rPr>
        <w:t xml:space="preserve">2010 roku na Dolnym Śląsku egzamin zdało 82% absolwentów (przy 81% ogółem w kraju). </w:t>
      </w:r>
    </w:p>
    <w:p w:rsidR="009E03A0" w:rsidRPr="00AE35C1" w:rsidRDefault="009E03A0" w:rsidP="009E03A0">
      <w:pPr>
        <w:spacing w:before="120" w:after="120" w:line="288" w:lineRule="auto"/>
        <w:jc w:val="both"/>
        <w:rPr>
          <w:rFonts w:eastAsia="Times New Roman" w:cs="Arial"/>
          <w:color w:val="000000"/>
          <w:sz w:val="19"/>
          <w:szCs w:val="19"/>
        </w:rPr>
      </w:pPr>
      <w:r w:rsidRPr="00AE35C1">
        <w:rPr>
          <w:rFonts w:cs="Arial"/>
          <w:color w:val="000000"/>
          <w:sz w:val="19"/>
          <w:szCs w:val="19"/>
        </w:rPr>
        <w:t xml:space="preserve">Na Dolnym Śląsku w 2016 roku funkcjonowały 33 </w:t>
      </w:r>
      <w:r w:rsidRPr="00AE35C1">
        <w:rPr>
          <w:rFonts w:cs="Arial"/>
          <w:b/>
          <w:color w:val="000000"/>
          <w:sz w:val="19"/>
          <w:szCs w:val="19"/>
        </w:rPr>
        <w:t>szkoły wyższe</w:t>
      </w:r>
      <w:r w:rsidRPr="00AE35C1">
        <w:rPr>
          <w:rFonts w:cs="Arial"/>
          <w:color w:val="000000"/>
          <w:sz w:val="19"/>
          <w:szCs w:val="19"/>
        </w:rPr>
        <w:t xml:space="preserve"> (4. miejsce w kraju), na których studiowało 130,4 tys. studentów (3. miejsce wśród regionów), a względem 2010 roku ich liczba zmniejszyła się o 22,6%. Wzrost notuje natomiast liczba studentów wybierających studia</w:t>
      </w:r>
      <w:r w:rsidRPr="00AE35C1">
        <w:rPr>
          <w:rFonts w:eastAsia="Times New Roman" w:cs="Arial"/>
          <w:color w:val="000000"/>
          <w:sz w:val="19"/>
          <w:szCs w:val="19"/>
        </w:rPr>
        <w:t xml:space="preserve"> trzeciego stopnia (doktoranckie). </w:t>
      </w:r>
    </w:p>
    <w:p w:rsidR="008005B2" w:rsidRPr="00D113CA" w:rsidRDefault="00AC3ED7" w:rsidP="00D113CA">
      <w:pPr>
        <w:spacing w:before="120" w:after="120" w:line="288" w:lineRule="auto"/>
        <w:jc w:val="both"/>
        <w:rPr>
          <w:color w:val="000000"/>
          <w:sz w:val="19"/>
          <w:szCs w:val="19"/>
        </w:rPr>
      </w:pPr>
      <w:r w:rsidRPr="00AE35C1">
        <w:rPr>
          <w:rStyle w:val="TEKSTZnak"/>
          <w:sz w:val="19"/>
          <w:szCs w:val="19"/>
        </w:rPr>
        <w:t>W Unii Europejskiej średnio 39,1% osób w wieku 30-34 lata posiada</w:t>
      </w:r>
      <w:r w:rsidR="00542530" w:rsidRPr="00AE35C1">
        <w:rPr>
          <w:rStyle w:val="TEKSTZnak"/>
          <w:sz w:val="19"/>
          <w:szCs w:val="19"/>
        </w:rPr>
        <w:t>ło w 201</w:t>
      </w:r>
      <w:r w:rsidR="00905F49">
        <w:rPr>
          <w:rStyle w:val="TEKSTZnak"/>
          <w:sz w:val="19"/>
          <w:szCs w:val="19"/>
        </w:rPr>
        <w:t>6</w:t>
      </w:r>
      <w:r w:rsidR="00542530" w:rsidRPr="00AE35C1">
        <w:rPr>
          <w:rStyle w:val="TEKSTZnak"/>
          <w:sz w:val="19"/>
          <w:szCs w:val="19"/>
        </w:rPr>
        <w:t xml:space="preserve"> roku</w:t>
      </w:r>
      <w:r w:rsidRPr="00AE35C1">
        <w:rPr>
          <w:rStyle w:val="TEKSTZnak"/>
          <w:sz w:val="19"/>
          <w:szCs w:val="19"/>
        </w:rPr>
        <w:t xml:space="preserve"> </w:t>
      </w:r>
      <w:r w:rsidRPr="00AE35C1">
        <w:rPr>
          <w:rStyle w:val="TEKSTZnak"/>
          <w:b/>
          <w:sz w:val="19"/>
          <w:szCs w:val="19"/>
        </w:rPr>
        <w:t>wykształcenie wyższe</w:t>
      </w:r>
      <w:r w:rsidRPr="00AE35C1">
        <w:rPr>
          <w:rStyle w:val="TEKSTZnak"/>
          <w:sz w:val="19"/>
          <w:szCs w:val="19"/>
        </w:rPr>
        <w:t xml:space="preserve">. Co istotne, najwyższe udziały występują m.in. w polskich regionach. Korzystnie na tle regionów europejskich wypada również Dolny Śląsk, w którym </w:t>
      </w:r>
      <w:r w:rsidR="00846B7B" w:rsidRPr="00AE35C1">
        <w:rPr>
          <w:rStyle w:val="TEKSTZnak"/>
          <w:sz w:val="19"/>
          <w:szCs w:val="19"/>
        </w:rPr>
        <w:t>udział osób z </w:t>
      </w:r>
      <w:r w:rsidRPr="00AE35C1">
        <w:rPr>
          <w:rStyle w:val="TEKSTZnak"/>
          <w:sz w:val="19"/>
          <w:szCs w:val="19"/>
        </w:rPr>
        <w:t>wykształceniem wyższym w grupie wiekowej 30-34 lata wynosi 4</w:t>
      </w:r>
      <w:r w:rsidR="00905F49">
        <w:rPr>
          <w:rStyle w:val="TEKSTZnak"/>
          <w:sz w:val="19"/>
          <w:szCs w:val="19"/>
        </w:rPr>
        <w:t>1,</w:t>
      </w:r>
      <w:r w:rsidR="00463ADA">
        <w:rPr>
          <w:rStyle w:val="TEKSTZnak"/>
          <w:sz w:val="19"/>
          <w:szCs w:val="19"/>
        </w:rPr>
        <w:t>9</w:t>
      </w:r>
      <w:r w:rsidRPr="00AE35C1">
        <w:rPr>
          <w:rStyle w:val="TEKSTZnak"/>
          <w:sz w:val="19"/>
          <w:szCs w:val="19"/>
        </w:rPr>
        <w:t>% (w Polsce średni udział wyniósł 44,6%).</w:t>
      </w:r>
    </w:p>
    <w:p w:rsidR="009F7937" w:rsidRDefault="009F7937">
      <w:pPr>
        <w:jc w:val="center"/>
        <w:rPr>
          <w:b/>
        </w:rPr>
        <w:sectPr w:rsidR="009F7937" w:rsidSect="00E73C96">
          <w:headerReference w:type="even" r:id="rId42"/>
          <w:headerReference w:type="default" r:id="rId43"/>
          <w:footerReference w:type="default" r:id="rId44"/>
          <w:type w:val="continuous"/>
          <w:pgSz w:w="11906" w:h="16838"/>
          <w:pgMar w:top="1276" w:right="1276" w:bottom="1276" w:left="1417" w:header="708" w:footer="708" w:gutter="0"/>
          <w:cols w:num="2" w:space="454"/>
          <w:docGrid w:linePitch="360"/>
        </w:sectPr>
      </w:pPr>
    </w:p>
    <w:p w:rsidR="003E527B" w:rsidRPr="00CB0324" w:rsidRDefault="00DF7C1C" w:rsidP="00BB583E">
      <w:pPr>
        <w:rPr>
          <w:rFonts w:asciiTheme="minorHAnsi" w:eastAsia="Times New Roman" w:hAnsiTheme="minorHAnsi"/>
          <w:b/>
          <w:caps/>
          <w:color w:val="000000"/>
          <w:sz w:val="19"/>
          <w:szCs w:val="19"/>
          <w:lang w:eastAsia="pl-PL"/>
        </w:rPr>
      </w:pPr>
      <w:r w:rsidRPr="00CB0324">
        <w:rPr>
          <w:rFonts w:asciiTheme="minorHAnsi" w:eastAsia="Times New Roman" w:hAnsiTheme="minorHAnsi"/>
          <w:b/>
          <w:caps/>
          <w:color w:val="000000"/>
          <w:sz w:val="19"/>
          <w:szCs w:val="19"/>
          <w:lang w:eastAsia="pl-PL"/>
        </w:rPr>
        <w:lastRenderedPageBreak/>
        <w:t>Plan sieci szkół i placówek  o charakterze regionalnym i ponadregionalnym, dla których organem prowadzącym jest Samorząd Województwa Dolnośląskiego</w:t>
      </w:r>
    </w:p>
    <w:p w:rsidR="003E527B" w:rsidRPr="00BB583E" w:rsidRDefault="009F7937" w:rsidP="00BB583E">
      <w:pPr>
        <w:spacing w:before="120"/>
        <w:jc w:val="both"/>
        <w:rPr>
          <w:rFonts w:asciiTheme="minorHAnsi" w:hAnsiTheme="minorHAnsi" w:cs="Calibri"/>
          <w:color w:val="000000"/>
          <w:sz w:val="19"/>
          <w:szCs w:val="19"/>
          <w:lang w:eastAsia="pl-PL"/>
        </w:rPr>
      </w:pPr>
      <w:r w:rsidRPr="00BB583E">
        <w:rPr>
          <w:rFonts w:asciiTheme="minorHAnsi" w:hAnsiTheme="minorHAnsi" w:cs="Calibri"/>
          <w:color w:val="000000"/>
          <w:sz w:val="19"/>
          <w:szCs w:val="19"/>
          <w:lang w:eastAsia="pl-PL"/>
        </w:rPr>
        <w:t xml:space="preserve">Zgodnie  z art. 8 ust 25 ustawy </w:t>
      </w:r>
      <w:r w:rsidRPr="00BB583E">
        <w:rPr>
          <w:rFonts w:asciiTheme="minorHAnsi" w:hAnsiTheme="minorHAnsi"/>
          <w:color w:val="575757"/>
          <w:sz w:val="19"/>
          <w:szCs w:val="19"/>
        </w:rPr>
        <w:t>z dnia 14 grudnia 2016 r. Prawo oświatowe</w:t>
      </w:r>
      <w:r w:rsidRPr="00BB583E">
        <w:rPr>
          <w:rFonts w:asciiTheme="minorHAnsi" w:hAnsiTheme="minorHAnsi" w:cs="Calibri"/>
          <w:color w:val="000000"/>
          <w:sz w:val="19"/>
          <w:szCs w:val="19"/>
          <w:lang w:eastAsia="pl-PL"/>
        </w:rPr>
        <w:t xml:space="preserve"> (</w:t>
      </w:r>
      <w:r w:rsidRPr="00BB583E">
        <w:rPr>
          <w:rFonts w:asciiTheme="minorHAnsi" w:hAnsiTheme="minorHAnsi"/>
          <w:color w:val="575757"/>
          <w:sz w:val="19"/>
          <w:szCs w:val="19"/>
        </w:rPr>
        <w:t>Dz.U.2017.0.59)</w:t>
      </w:r>
      <w:r w:rsidRPr="00BB583E">
        <w:rPr>
          <w:rFonts w:asciiTheme="minorHAnsi" w:hAnsiTheme="minorHAnsi" w:cs="Calibri"/>
          <w:color w:val="000000"/>
          <w:sz w:val="19"/>
          <w:szCs w:val="19"/>
          <w:lang w:eastAsia="pl-PL"/>
        </w:rPr>
        <w:t xml:space="preserve"> strategia rozwoju województwa określa plan sieci publicznych placówek doskonalenia nauczycieli, bibliotek pedagogicznych oraz szkół i </w:t>
      </w:r>
      <w:r w:rsidR="0008210C" w:rsidRPr="00BB583E">
        <w:rPr>
          <w:rFonts w:asciiTheme="minorHAnsi" w:hAnsiTheme="minorHAnsi" w:cs="Calibri"/>
          <w:color w:val="000000"/>
          <w:sz w:val="19"/>
          <w:szCs w:val="19"/>
          <w:lang w:eastAsia="pl-PL"/>
        </w:rPr>
        <w:t>placówek, o których mowa w ust. 22 ww. ustawy.</w:t>
      </w:r>
    </w:p>
    <w:p w:rsidR="0008210C" w:rsidRPr="00BB583E" w:rsidRDefault="0008210C" w:rsidP="0008210C">
      <w:pPr>
        <w:spacing w:after="120" w:line="288" w:lineRule="auto"/>
        <w:jc w:val="both"/>
        <w:rPr>
          <w:sz w:val="19"/>
          <w:szCs w:val="19"/>
        </w:rPr>
      </w:pPr>
      <w:r w:rsidRPr="00BB583E">
        <w:rPr>
          <w:sz w:val="19"/>
          <w:szCs w:val="19"/>
        </w:rPr>
        <w:t xml:space="preserve">W 2016 roku na Dolnym Śląsku funkcjonowało: 804 szkoły podstawowe, 520 szkół gimnazjalnych, 263 licea ogólnokształcące, 134 technika i 174 zasadnicze szkoły zawodowe i przysposabiające do pracy zawodowej. </w:t>
      </w:r>
    </w:p>
    <w:p w:rsidR="0008210C" w:rsidRPr="00BB583E" w:rsidRDefault="0008210C" w:rsidP="00D113CA">
      <w:pPr>
        <w:jc w:val="both"/>
        <w:rPr>
          <w:rFonts w:asciiTheme="minorHAnsi" w:hAnsiTheme="minorHAnsi"/>
          <w:sz w:val="19"/>
          <w:szCs w:val="19"/>
        </w:rPr>
      </w:pPr>
      <w:r w:rsidRPr="00BB583E">
        <w:rPr>
          <w:rFonts w:asciiTheme="minorHAnsi" w:hAnsiTheme="minorHAnsi"/>
          <w:sz w:val="19"/>
          <w:szCs w:val="19"/>
        </w:rPr>
        <w:t>Samorząd Województwa Dolnośląskiego jest organem prowadzącym dla wymienionych poniżej w tabeli następujących publicznych placówek doskonalenia nauczycieli, bibliotek pedagogicznych oraz szkół i</w:t>
      </w:r>
      <w:r w:rsidR="00771274">
        <w:rPr>
          <w:rFonts w:asciiTheme="minorHAnsi" w:hAnsiTheme="minorHAnsi"/>
          <w:sz w:val="19"/>
          <w:szCs w:val="19"/>
        </w:rPr>
        <w:t> </w:t>
      </w:r>
      <w:r w:rsidRPr="00BB583E">
        <w:rPr>
          <w:rFonts w:asciiTheme="minorHAnsi" w:hAnsiTheme="minorHAnsi"/>
          <w:sz w:val="19"/>
          <w:szCs w:val="19"/>
        </w:rPr>
        <w:t xml:space="preserve">placówek o znaczeniu regionalnym i ponadregionalnym. </w:t>
      </w:r>
    </w:p>
    <w:p w:rsidR="0008210C" w:rsidRPr="003C1052" w:rsidRDefault="0008210C" w:rsidP="00E7427F">
      <w:pPr>
        <w:pStyle w:val="TABELA"/>
        <w:ind w:left="851" w:hanging="851"/>
        <w:rPr>
          <w:noProof/>
          <w:lang w:eastAsia="pl-PL"/>
        </w:rPr>
      </w:pPr>
      <w:r w:rsidRPr="003C1052">
        <w:rPr>
          <w:noProof/>
          <w:lang w:eastAsia="pl-PL"/>
        </w:rPr>
        <w:t xml:space="preserve">TABELA1. SIEĆ SZKÓŁ I PLACÓWEK O CHARAKTERZE REGIONALNYM I PONADREGIONALNYM, DLA KTÓRYCH ORGANEM PROWADZĄCYM JEST SAMORZĄD WOJEWÓDZTWA DOLNOŚLĄSKIEGO.  </w:t>
      </w:r>
    </w:p>
    <w:tbl>
      <w:tblPr>
        <w:tblW w:w="4395" w:type="dxa"/>
        <w:shd w:val="clear" w:color="auto" w:fill="F2F2F2" w:themeFill="background1" w:themeFillShade="F2"/>
        <w:tblCellMar>
          <w:left w:w="70" w:type="dxa"/>
          <w:right w:w="70" w:type="dxa"/>
        </w:tblCellMar>
        <w:tblLook w:val="04A0"/>
      </w:tblPr>
      <w:tblGrid>
        <w:gridCol w:w="345"/>
        <w:gridCol w:w="4111"/>
      </w:tblGrid>
      <w:tr w:rsidR="0008210C" w:rsidRPr="00BB583E" w:rsidTr="00771274">
        <w:trPr>
          <w:trHeight w:val="300"/>
        </w:trPr>
        <w:tc>
          <w:tcPr>
            <w:tcW w:w="284" w:type="dxa"/>
            <w:tcBorders>
              <w:top w:val="nil"/>
              <w:left w:val="nil"/>
              <w:bottom w:val="single" w:sz="12" w:space="0" w:color="FFFFFF"/>
              <w:right w:val="single" w:sz="4" w:space="0" w:color="FFFFFF"/>
            </w:tcBorders>
            <w:shd w:val="clear" w:color="auto" w:fill="F2F2F2" w:themeFill="background1" w:themeFillShade="F2"/>
            <w:noWrap/>
            <w:vAlign w:val="bottom"/>
            <w:hideMark/>
          </w:tcPr>
          <w:p w:rsidR="0008210C" w:rsidRPr="00BB583E" w:rsidRDefault="0008210C" w:rsidP="00BB583E">
            <w:pPr>
              <w:spacing w:before="60" w:after="60" w:line="288" w:lineRule="auto"/>
              <w:jc w:val="center"/>
              <w:rPr>
                <w:rFonts w:asciiTheme="minorHAnsi" w:eastAsia="Times New Roman" w:hAnsiTheme="minorHAnsi" w:cstheme="minorHAnsi"/>
                <w:b/>
                <w:bCs/>
                <w:color w:val="404040" w:themeColor="text1" w:themeTint="BF"/>
                <w:sz w:val="16"/>
                <w:szCs w:val="16"/>
                <w:lang w:eastAsia="pl-PL"/>
              </w:rPr>
            </w:pPr>
            <w:r w:rsidRPr="00BB583E">
              <w:rPr>
                <w:rFonts w:asciiTheme="minorHAnsi" w:eastAsia="Times New Roman" w:hAnsiTheme="minorHAnsi" w:cstheme="minorHAnsi"/>
                <w:b/>
                <w:caps/>
                <w:color w:val="404040" w:themeColor="text1" w:themeTint="BF"/>
                <w:sz w:val="16"/>
                <w:szCs w:val="16"/>
              </w:rPr>
              <w:t>Lp</w:t>
            </w:r>
            <w:r w:rsidRPr="00BB583E">
              <w:rPr>
                <w:rFonts w:asciiTheme="minorHAnsi" w:eastAsia="Times New Roman" w:hAnsiTheme="minorHAnsi" w:cstheme="minorHAnsi"/>
                <w:b/>
                <w:bCs/>
                <w:color w:val="404040" w:themeColor="text1" w:themeTint="BF"/>
                <w:sz w:val="16"/>
                <w:szCs w:val="16"/>
                <w:lang w:eastAsia="pl-PL"/>
              </w:rPr>
              <w:t>.</w:t>
            </w:r>
          </w:p>
        </w:tc>
        <w:tc>
          <w:tcPr>
            <w:tcW w:w="4111" w:type="dxa"/>
            <w:tcBorders>
              <w:top w:val="nil"/>
              <w:left w:val="single" w:sz="4" w:space="0" w:color="FFFFFF"/>
              <w:bottom w:val="single" w:sz="12" w:space="0" w:color="FFFFFF"/>
              <w:right w:val="nil"/>
            </w:tcBorders>
            <w:shd w:val="clear" w:color="auto" w:fill="F2F2F2" w:themeFill="background1" w:themeFillShade="F2"/>
            <w:noWrap/>
            <w:vAlign w:val="center"/>
            <w:hideMark/>
          </w:tcPr>
          <w:p w:rsidR="0008210C" w:rsidRPr="00BB583E" w:rsidRDefault="0008210C" w:rsidP="00940BAB">
            <w:pPr>
              <w:spacing w:after="0" w:line="240" w:lineRule="auto"/>
              <w:rPr>
                <w:rFonts w:asciiTheme="minorHAnsi" w:eastAsia="Times New Roman" w:hAnsiTheme="minorHAnsi" w:cstheme="minorHAnsi"/>
                <w:b/>
                <w:bCs/>
                <w:color w:val="404040" w:themeColor="text1" w:themeTint="BF"/>
                <w:sz w:val="16"/>
                <w:szCs w:val="16"/>
                <w:lang w:eastAsia="pl-PL"/>
              </w:rPr>
            </w:pPr>
            <w:r w:rsidRPr="00BB583E">
              <w:rPr>
                <w:rFonts w:asciiTheme="minorHAnsi" w:eastAsia="Times New Roman" w:hAnsiTheme="minorHAnsi" w:cstheme="minorHAnsi"/>
                <w:b/>
                <w:caps/>
                <w:color w:val="404040" w:themeColor="text1" w:themeTint="BF"/>
                <w:sz w:val="16"/>
                <w:szCs w:val="16"/>
              </w:rPr>
              <w:t>Nazwa szkoły lub placówki</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bCs/>
                <w:color w:val="404040" w:themeColor="text1" w:themeTint="BF"/>
                <w:sz w:val="16"/>
                <w:szCs w:val="16"/>
                <w:lang w:eastAsia="pl-PL"/>
              </w:rPr>
            </w:pPr>
            <w:r w:rsidRPr="00BB583E">
              <w:rPr>
                <w:rFonts w:asciiTheme="minorHAnsi" w:eastAsia="Times New Roman" w:hAnsiTheme="minorHAnsi" w:cstheme="minorHAnsi"/>
                <w:b/>
                <w:caps/>
                <w:color w:val="404040" w:themeColor="text1" w:themeTint="BF"/>
                <w:sz w:val="16"/>
                <w:szCs w:val="16"/>
              </w:rPr>
              <w:t>1.</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CB0324">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Centrum Kształcenia Ustawicznego i Językowego Kadr w</w:t>
            </w:r>
            <w:r w:rsidR="00CB0324">
              <w:rPr>
                <w:rFonts w:asciiTheme="minorHAnsi" w:eastAsia="Times New Roman" w:hAnsiTheme="minorHAnsi" w:cstheme="minorHAnsi"/>
                <w:color w:val="404040" w:themeColor="text1" w:themeTint="BF"/>
                <w:sz w:val="16"/>
                <w:szCs w:val="16"/>
                <w:lang w:eastAsia="pl-PL"/>
              </w:rPr>
              <w:t> </w:t>
            </w:r>
            <w:r w:rsidRPr="00BB583E">
              <w:rPr>
                <w:rFonts w:asciiTheme="minorHAnsi" w:eastAsia="Times New Roman" w:hAnsiTheme="minorHAnsi" w:cstheme="minorHAnsi"/>
                <w:color w:val="404040" w:themeColor="text1" w:themeTint="BF"/>
                <w:sz w:val="16"/>
                <w:szCs w:val="16"/>
                <w:lang w:eastAsia="pl-PL"/>
              </w:rPr>
              <w:t>Legnicy</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2.</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Dolnośląska Biblioteka Pedagogiczna we Wrocławiu</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3.</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Dolnośląski Ośrodek Doskonalenia Nauczycieli we Wrocławiu</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4.</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Dolnośląski Specjalny Ośrodek Szkolno-Wychowawczy nr 12 dla Niesłyszących i Słabosłyszących im. Marii Grzegorzewskiej we Wrocławiu</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5.</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Dolnośląski Specjalny Ośrodek Szkolno-Wychowawczy nr 13 dla Niewidomych i Słabowidzących im. Marii Grzegorzewskiej we Wrocławiu</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6.</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Młodzieżowy Ośrodek Wychowawczy w Jaworze</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7.</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Młodzieżowy Ośrodek Wychowawczy w Wałbrzychu</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8.</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Szkoła Podstawowa nr 3 im. UNICEF przy Szpitalu Uzdrowiskowym dla Dzieci "Jagusia" w Kudowie-Zdroju</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9.</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Szkoła Podstawowa nr 4 przy Szpitalu Rehabilitacyjnym Hematologicznym "Orlik" w Kudowie-Zdroju</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10.</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CB0324">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Szkoła Policealna Medyczna im. Marii Skłodowskiej-Curie we</w:t>
            </w:r>
            <w:r w:rsidR="00CB0324">
              <w:rPr>
                <w:rFonts w:asciiTheme="minorHAnsi" w:eastAsia="Times New Roman" w:hAnsiTheme="minorHAnsi" w:cstheme="minorHAnsi"/>
                <w:color w:val="404040" w:themeColor="text1" w:themeTint="BF"/>
                <w:sz w:val="16"/>
                <w:szCs w:val="16"/>
                <w:lang w:eastAsia="pl-PL"/>
              </w:rPr>
              <w:t> </w:t>
            </w:r>
            <w:r w:rsidRPr="00BB583E">
              <w:rPr>
                <w:rFonts w:asciiTheme="minorHAnsi" w:eastAsia="Times New Roman" w:hAnsiTheme="minorHAnsi" w:cstheme="minorHAnsi"/>
                <w:color w:val="404040" w:themeColor="text1" w:themeTint="BF"/>
                <w:sz w:val="16"/>
                <w:szCs w:val="16"/>
                <w:lang w:eastAsia="pl-PL"/>
              </w:rPr>
              <w:t>Wrocławiu</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11.</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CB0324">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Zespół Szkół Agrotechnicznych im. Batalionów Chłopskich w</w:t>
            </w:r>
            <w:r w:rsidR="00CB0324">
              <w:rPr>
                <w:rFonts w:asciiTheme="minorHAnsi" w:eastAsia="Times New Roman" w:hAnsiTheme="minorHAnsi" w:cstheme="minorHAnsi"/>
                <w:color w:val="404040" w:themeColor="text1" w:themeTint="BF"/>
                <w:sz w:val="16"/>
                <w:szCs w:val="16"/>
                <w:lang w:eastAsia="pl-PL"/>
              </w:rPr>
              <w:t> </w:t>
            </w:r>
            <w:r w:rsidRPr="00BB583E">
              <w:rPr>
                <w:rFonts w:asciiTheme="minorHAnsi" w:eastAsia="Times New Roman" w:hAnsiTheme="minorHAnsi" w:cstheme="minorHAnsi"/>
                <w:color w:val="404040" w:themeColor="text1" w:themeTint="BF"/>
                <w:sz w:val="16"/>
                <w:szCs w:val="16"/>
                <w:lang w:eastAsia="pl-PL"/>
              </w:rPr>
              <w:t>Bożkowie</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12.</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CB0324">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Zespół Szkół Ponadgimnazjalnych im. Marii Konopnickiej w</w:t>
            </w:r>
            <w:r w:rsidR="00CB0324">
              <w:rPr>
                <w:rFonts w:asciiTheme="minorHAnsi" w:eastAsia="Times New Roman" w:hAnsiTheme="minorHAnsi" w:cstheme="minorHAnsi"/>
                <w:color w:val="404040" w:themeColor="text1" w:themeTint="BF"/>
                <w:sz w:val="16"/>
                <w:szCs w:val="16"/>
                <w:lang w:eastAsia="pl-PL"/>
              </w:rPr>
              <w:t> </w:t>
            </w:r>
            <w:r w:rsidRPr="00BB583E">
              <w:rPr>
                <w:rFonts w:asciiTheme="minorHAnsi" w:eastAsia="Times New Roman" w:hAnsiTheme="minorHAnsi" w:cstheme="minorHAnsi"/>
                <w:color w:val="404040" w:themeColor="text1" w:themeTint="BF"/>
                <w:sz w:val="16"/>
                <w:szCs w:val="16"/>
                <w:lang w:eastAsia="pl-PL"/>
              </w:rPr>
              <w:t>Biedrzychowicach</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13.</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Zespół Szkół Ponadgimnazjalnych w Karpaczu</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14.</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Zespół Szkół Ponadgimnazjalnych w Lubinie</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15.</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Zespół Szkół Ponadgimnazjalnych w Świdnicy</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16.</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Zespół Szkół Specjalnych przy Wielospecjalistycznym Szpitalu w Miliczu</w:t>
            </w:r>
          </w:p>
        </w:tc>
      </w:tr>
      <w:tr w:rsidR="0008210C" w:rsidRPr="00BB583E" w:rsidTr="00CB0324">
        <w:trPr>
          <w:trHeight w:val="300"/>
        </w:trPr>
        <w:tc>
          <w:tcPr>
            <w:tcW w:w="284" w:type="dxa"/>
            <w:tcBorders>
              <w:top w:val="single" w:sz="4" w:space="0" w:color="FFFFFF"/>
              <w:left w:val="nil"/>
              <w:bottom w:val="single" w:sz="4" w:space="0" w:color="FFFFFF"/>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17.</w:t>
            </w:r>
          </w:p>
        </w:tc>
        <w:tc>
          <w:tcPr>
            <w:tcW w:w="4111" w:type="dxa"/>
            <w:tcBorders>
              <w:top w:val="single" w:sz="4" w:space="0" w:color="FFFFFF"/>
              <w:left w:val="single" w:sz="4" w:space="0" w:color="FFFFFF"/>
              <w:bottom w:val="single" w:sz="4" w:space="0" w:color="FFFFFF"/>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Zespół Szkół Specjalnych Przyszpitalnych w Wałbrzychu</w:t>
            </w:r>
          </w:p>
        </w:tc>
      </w:tr>
      <w:tr w:rsidR="0008210C" w:rsidRPr="00BB583E" w:rsidTr="00CB0324">
        <w:trPr>
          <w:trHeight w:val="300"/>
        </w:trPr>
        <w:tc>
          <w:tcPr>
            <w:tcW w:w="284" w:type="dxa"/>
            <w:tcBorders>
              <w:top w:val="single" w:sz="4" w:space="0" w:color="FFFFFF"/>
              <w:left w:val="nil"/>
              <w:bottom w:val="nil"/>
              <w:right w:val="single" w:sz="4" w:space="0" w:color="FFFFFF"/>
            </w:tcBorders>
            <w:shd w:val="clear" w:color="auto" w:fill="F2F2F2" w:themeFill="background1" w:themeFillShade="F2"/>
            <w:noWrap/>
            <w:vAlign w:val="center"/>
            <w:hideMark/>
          </w:tcPr>
          <w:p w:rsidR="0008210C" w:rsidRPr="00BB583E" w:rsidRDefault="0008210C" w:rsidP="00CB0324">
            <w:pPr>
              <w:spacing w:after="0" w:line="240" w:lineRule="auto"/>
              <w:jc w:val="center"/>
              <w:rPr>
                <w:rFonts w:asciiTheme="minorHAnsi" w:eastAsia="Times New Roman" w:hAnsiTheme="minorHAnsi" w:cstheme="minorHAnsi"/>
                <w:b/>
                <w:caps/>
                <w:color w:val="404040" w:themeColor="text1" w:themeTint="BF"/>
                <w:sz w:val="16"/>
                <w:szCs w:val="16"/>
              </w:rPr>
            </w:pPr>
            <w:r w:rsidRPr="00BB583E">
              <w:rPr>
                <w:rFonts w:asciiTheme="minorHAnsi" w:eastAsia="Times New Roman" w:hAnsiTheme="minorHAnsi" w:cstheme="minorHAnsi"/>
                <w:b/>
                <w:caps/>
                <w:color w:val="404040" w:themeColor="text1" w:themeTint="BF"/>
                <w:sz w:val="16"/>
                <w:szCs w:val="16"/>
              </w:rPr>
              <w:t>18.</w:t>
            </w:r>
          </w:p>
        </w:tc>
        <w:tc>
          <w:tcPr>
            <w:tcW w:w="4111" w:type="dxa"/>
            <w:tcBorders>
              <w:top w:val="single" w:sz="4" w:space="0" w:color="FFFFFF"/>
              <w:left w:val="single" w:sz="4" w:space="0" w:color="FFFFFF"/>
              <w:bottom w:val="nil"/>
              <w:right w:val="nil"/>
            </w:tcBorders>
            <w:shd w:val="clear" w:color="auto" w:fill="F2F2F2" w:themeFill="background1" w:themeFillShade="F2"/>
            <w:noWrap/>
            <w:vAlign w:val="bottom"/>
            <w:hideMark/>
          </w:tcPr>
          <w:p w:rsidR="0008210C" w:rsidRPr="00BB583E" w:rsidRDefault="0008210C" w:rsidP="00940BAB">
            <w:pPr>
              <w:spacing w:after="0" w:line="240" w:lineRule="auto"/>
              <w:rPr>
                <w:rFonts w:asciiTheme="minorHAnsi" w:eastAsia="Times New Roman" w:hAnsiTheme="minorHAnsi" w:cstheme="minorHAnsi"/>
                <w:color w:val="404040" w:themeColor="text1" w:themeTint="BF"/>
                <w:sz w:val="16"/>
                <w:szCs w:val="16"/>
                <w:lang w:eastAsia="pl-PL"/>
              </w:rPr>
            </w:pPr>
            <w:r w:rsidRPr="00BB583E">
              <w:rPr>
                <w:rFonts w:asciiTheme="minorHAnsi" w:eastAsia="Times New Roman" w:hAnsiTheme="minorHAnsi" w:cstheme="minorHAnsi"/>
                <w:color w:val="404040" w:themeColor="text1" w:themeTint="BF"/>
                <w:sz w:val="16"/>
                <w:szCs w:val="16"/>
                <w:lang w:eastAsia="pl-PL"/>
              </w:rPr>
              <w:t>Zespół Szkół w Jaworze</w:t>
            </w:r>
          </w:p>
        </w:tc>
      </w:tr>
    </w:tbl>
    <w:p w:rsidR="00C2634B" w:rsidRPr="00CB0324" w:rsidRDefault="0008210C" w:rsidP="00CB0324">
      <w:pPr>
        <w:pStyle w:val="rdo0"/>
        <w:spacing w:before="60"/>
        <w:ind w:left="567" w:hanging="567"/>
        <w:rPr>
          <w:color w:val="000000" w:themeColor="text1"/>
        </w:rPr>
      </w:pPr>
      <w:r w:rsidRPr="00CB0324">
        <w:rPr>
          <w:color w:val="000000" w:themeColor="text1"/>
        </w:rPr>
        <w:lastRenderedPageBreak/>
        <w:t>Źródło: Plan sieci szkół i placówek o charakterze regionalnym i</w:t>
      </w:r>
      <w:r w:rsidR="00771274" w:rsidRPr="00CB0324">
        <w:rPr>
          <w:color w:val="000000" w:themeColor="text1"/>
        </w:rPr>
        <w:t> </w:t>
      </w:r>
      <w:r w:rsidRPr="00CB0324">
        <w:rPr>
          <w:color w:val="000000" w:themeColor="text1"/>
        </w:rPr>
        <w:t>ponadregionalnym, dla których organem prowadzącym jest Samorząd Województwa Dolnośląskiego, UMWD</w:t>
      </w:r>
    </w:p>
    <w:p w:rsidR="00AB6BCA" w:rsidRPr="00AE35C1" w:rsidRDefault="00AB6BCA" w:rsidP="00C2634B">
      <w:pPr>
        <w:pStyle w:val="MAPA"/>
      </w:pPr>
      <w:r w:rsidRPr="00AE35C1">
        <w:t>MAPA 1</w:t>
      </w:r>
      <w:r w:rsidR="004964B3">
        <w:t>4</w:t>
      </w:r>
      <w:r w:rsidRPr="00AE35C1">
        <w:t>. Udział osób w wieku 30-34 lat z wykształceniem wyższym W regionach nuts2 w europie [2016].</w:t>
      </w:r>
    </w:p>
    <w:p w:rsidR="00AB6BCA" w:rsidRPr="00AE35C1" w:rsidRDefault="0055701D" w:rsidP="00AB6BCA">
      <w:pPr>
        <w:spacing w:before="120" w:after="0" w:line="288" w:lineRule="auto"/>
        <w:jc w:val="center"/>
        <w:rPr>
          <w:rFonts w:eastAsia="Times New Roman" w:cs="Arial"/>
          <w:color w:val="000000"/>
          <w:sz w:val="19"/>
          <w:szCs w:val="19"/>
        </w:rPr>
      </w:pPr>
      <w:r>
        <w:rPr>
          <w:rFonts w:eastAsia="Times New Roman" w:cs="Arial"/>
          <w:noProof/>
          <w:color w:val="000000"/>
          <w:sz w:val="19"/>
          <w:szCs w:val="19"/>
          <w:lang w:eastAsia="pl-PL"/>
        </w:rPr>
        <w:drawing>
          <wp:inline distT="0" distB="0" distL="0" distR="0">
            <wp:extent cx="2647950" cy="3371850"/>
            <wp:effectExtent l="19050" t="0" r="0" b="0"/>
            <wp:docPr id="16" name="Obraz 112" descr="C:\Users\kgmur\Desktop\wyższa edukac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2" descr="C:\Users\kgmur\Desktop\wyższa edukacja.jpg"/>
                    <pic:cNvPicPr>
                      <a:picLocks noChangeAspect="1" noChangeArrowheads="1"/>
                    </pic:cNvPicPr>
                  </pic:nvPicPr>
                  <pic:blipFill>
                    <a:blip r:embed="rId45" cstate="print"/>
                    <a:srcRect/>
                    <a:stretch>
                      <a:fillRect/>
                    </a:stretch>
                  </pic:blipFill>
                  <pic:spPr bwMode="auto">
                    <a:xfrm>
                      <a:off x="0" y="0"/>
                      <a:ext cx="2647950" cy="3371850"/>
                    </a:xfrm>
                    <a:prstGeom prst="rect">
                      <a:avLst/>
                    </a:prstGeom>
                    <a:noFill/>
                    <a:ln w="9525">
                      <a:noFill/>
                      <a:miter lim="800000"/>
                      <a:headEnd/>
                      <a:tailEnd/>
                    </a:ln>
                  </pic:spPr>
                </pic:pic>
              </a:graphicData>
            </a:graphic>
          </wp:inline>
        </w:drawing>
      </w:r>
    </w:p>
    <w:p w:rsidR="00AB6BCA" w:rsidRPr="00D113CA" w:rsidRDefault="00DF7C1C" w:rsidP="00AB6BCA">
      <w:pPr>
        <w:spacing w:after="120" w:line="288" w:lineRule="auto"/>
        <w:rPr>
          <w:i/>
          <w:color w:val="000000"/>
          <w:sz w:val="16"/>
          <w:szCs w:val="16"/>
        </w:rPr>
      </w:pPr>
      <w:r w:rsidRPr="00D113CA">
        <w:rPr>
          <w:i/>
          <w:color w:val="000000"/>
          <w:sz w:val="16"/>
          <w:szCs w:val="16"/>
        </w:rPr>
        <w:t xml:space="preserve">Źródło: </w:t>
      </w:r>
      <w:proofErr w:type="spellStart"/>
      <w:r w:rsidRPr="00D113CA">
        <w:rPr>
          <w:i/>
          <w:color w:val="000000"/>
          <w:sz w:val="16"/>
          <w:szCs w:val="16"/>
        </w:rPr>
        <w:t>Eurostat</w:t>
      </w:r>
      <w:proofErr w:type="spellEnd"/>
      <w:r w:rsidRPr="00D113CA">
        <w:rPr>
          <w:i/>
          <w:color w:val="000000"/>
          <w:sz w:val="16"/>
          <w:szCs w:val="16"/>
        </w:rPr>
        <w:t xml:space="preserve"> </w:t>
      </w:r>
      <w:proofErr w:type="spellStart"/>
      <w:r w:rsidRPr="00D113CA">
        <w:rPr>
          <w:i/>
          <w:color w:val="000000"/>
          <w:sz w:val="16"/>
          <w:szCs w:val="16"/>
        </w:rPr>
        <w:t>regional</w:t>
      </w:r>
      <w:proofErr w:type="spellEnd"/>
      <w:r w:rsidRPr="00D113CA">
        <w:rPr>
          <w:i/>
          <w:color w:val="000000"/>
          <w:sz w:val="16"/>
          <w:szCs w:val="16"/>
        </w:rPr>
        <w:t xml:space="preserve"> </w:t>
      </w:r>
      <w:proofErr w:type="spellStart"/>
      <w:r w:rsidRPr="00D113CA">
        <w:rPr>
          <w:i/>
          <w:color w:val="000000"/>
          <w:sz w:val="16"/>
          <w:szCs w:val="16"/>
        </w:rPr>
        <w:t>yearbook</w:t>
      </w:r>
      <w:proofErr w:type="spellEnd"/>
      <w:r w:rsidRPr="00D113CA">
        <w:rPr>
          <w:i/>
          <w:color w:val="000000"/>
          <w:sz w:val="16"/>
          <w:szCs w:val="16"/>
        </w:rPr>
        <w:t>, 2017.</w:t>
      </w:r>
    </w:p>
    <w:p w:rsidR="000C6BE4" w:rsidRPr="00AE35C1" w:rsidRDefault="000C6BE4" w:rsidP="005F49A2">
      <w:pPr>
        <w:spacing w:before="120" w:after="120" w:line="288" w:lineRule="auto"/>
        <w:jc w:val="both"/>
        <w:rPr>
          <w:rFonts w:cs="Calibri"/>
          <w:color w:val="000000"/>
          <w:sz w:val="19"/>
          <w:szCs w:val="19"/>
        </w:rPr>
      </w:pPr>
      <w:r w:rsidRPr="00AE35C1">
        <w:rPr>
          <w:rFonts w:cs="Calibri"/>
          <w:b/>
          <w:color w:val="000000"/>
          <w:sz w:val="19"/>
          <w:szCs w:val="19"/>
        </w:rPr>
        <w:t xml:space="preserve">Ochrona zdrowia. </w:t>
      </w:r>
      <w:r w:rsidRPr="00AE35C1">
        <w:rPr>
          <w:rFonts w:cs="Calibri"/>
          <w:color w:val="000000"/>
          <w:sz w:val="19"/>
          <w:szCs w:val="19"/>
        </w:rPr>
        <w:t xml:space="preserve">W 2016 roku działało w regionie 1 515 przychodni lekarskich (6. miejsce w Polsce). W analizowanym roku w szpitalach ogólnych na 10 000 mieszkańców regionu dostępnych było </w:t>
      </w:r>
      <w:r w:rsidR="007D10B3" w:rsidRPr="00AE35C1">
        <w:rPr>
          <w:rFonts w:cs="Calibri"/>
          <w:color w:val="000000"/>
          <w:sz w:val="19"/>
          <w:szCs w:val="19"/>
        </w:rPr>
        <w:t>51</w:t>
      </w:r>
      <w:r w:rsidR="00A648B3" w:rsidRPr="00AE35C1">
        <w:rPr>
          <w:rFonts w:cs="Calibri"/>
          <w:color w:val="000000"/>
          <w:sz w:val="19"/>
          <w:szCs w:val="19"/>
        </w:rPr>
        <w:t xml:space="preserve"> łóżek (o 3 łóżka </w:t>
      </w:r>
      <w:r w:rsidR="007D10B3" w:rsidRPr="00AE35C1">
        <w:rPr>
          <w:rFonts w:cs="Calibri"/>
          <w:color w:val="000000"/>
          <w:sz w:val="19"/>
          <w:szCs w:val="19"/>
        </w:rPr>
        <w:t>więcej</w:t>
      </w:r>
      <w:r w:rsidRPr="00AE35C1">
        <w:rPr>
          <w:rFonts w:cs="Calibri"/>
          <w:color w:val="000000"/>
          <w:sz w:val="19"/>
          <w:szCs w:val="19"/>
        </w:rPr>
        <w:t xml:space="preserve"> niż w 2010 roku). Funkcjonowały 2 stacjonarne zakłady rehabilitacyjne (z 261 dostępnymi łóżkami), 50 szpitali i sanatoriów uzdrowiskowych (z 6 174 łóżkami) oraz 10 uzdrowiskowych zakładów przyrodoleczniczych. W latach 2010-2016 liczba kurac</w:t>
      </w:r>
      <w:r w:rsidR="00C15F19" w:rsidRPr="00AE35C1">
        <w:rPr>
          <w:rFonts w:cs="Calibri"/>
          <w:color w:val="000000"/>
          <w:sz w:val="19"/>
          <w:szCs w:val="19"/>
        </w:rPr>
        <w:t xml:space="preserve">juszy wymienionych instytucji w </w:t>
      </w:r>
      <w:r w:rsidRPr="00AE35C1">
        <w:rPr>
          <w:rFonts w:cs="Calibri"/>
          <w:color w:val="000000"/>
          <w:sz w:val="19"/>
          <w:szCs w:val="19"/>
        </w:rPr>
        <w:t xml:space="preserve">regionie wzrosła o ponad 26%. W </w:t>
      </w:r>
      <w:r w:rsidR="00FE2818" w:rsidRPr="00AE35C1">
        <w:rPr>
          <w:rFonts w:cs="Calibri"/>
          <w:color w:val="000000"/>
          <w:sz w:val="19"/>
          <w:szCs w:val="19"/>
        </w:rPr>
        <w:t>województwie dolnośląskim w 2016</w:t>
      </w:r>
      <w:r w:rsidRPr="00AE35C1">
        <w:rPr>
          <w:rFonts w:cs="Calibri"/>
          <w:color w:val="000000"/>
          <w:sz w:val="19"/>
          <w:szCs w:val="19"/>
        </w:rPr>
        <w:t> roku na 1000 mi</w:t>
      </w:r>
      <w:r w:rsidR="00FE2818" w:rsidRPr="00AE35C1">
        <w:rPr>
          <w:rFonts w:cs="Calibri"/>
          <w:color w:val="000000"/>
          <w:sz w:val="19"/>
          <w:szCs w:val="19"/>
        </w:rPr>
        <w:t>eszkańców przypadało średnio 2,3</w:t>
      </w:r>
      <w:r w:rsidRPr="00AE35C1">
        <w:rPr>
          <w:rFonts w:cs="Calibri"/>
          <w:color w:val="000000"/>
          <w:sz w:val="19"/>
          <w:szCs w:val="19"/>
        </w:rPr>
        <w:t xml:space="preserve"> lekarzy</w:t>
      </w:r>
      <w:r w:rsidRPr="00AE35C1">
        <w:rPr>
          <w:rFonts w:cs="Calibri"/>
          <w:b/>
          <w:color w:val="000000"/>
          <w:sz w:val="19"/>
          <w:szCs w:val="19"/>
        </w:rPr>
        <w:t xml:space="preserve"> </w:t>
      </w:r>
      <w:r w:rsidRPr="00AE35C1">
        <w:rPr>
          <w:rFonts w:cs="Calibri"/>
          <w:color w:val="000000"/>
          <w:sz w:val="19"/>
          <w:szCs w:val="19"/>
        </w:rPr>
        <w:t>(w Polsce 2,</w:t>
      </w:r>
      <w:r w:rsidR="00FE2818" w:rsidRPr="00AE35C1">
        <w:rPr>
          <w:rFonts w:cs="Calibri"/>
          <w:color w:val="000000"/>
          <w:sz w:val="19"/>
          <w:szCs w:val="19"/>
        </w:rPr>
        <w:t>4</w:t>
      </w:r>
      <w:r w:rsidRPr="00AE35C1">
        <w:rPr>
          <w:rFonts w:cs="Calibri"/>
          <w:color w:val="000000"/>
          <w:sz w:val="19"/>
          <w:szCs w:val="19"/>
        </w:rPr>
        <w:t xml:space="preserve"> lekarzy), natomiast </w:t>
      </w:r>
      <w:r w:rsidR="00D93032" w:rsidRPr="00AE35C1">
        <w:rPr>
          <w:rFonts w:cs="Calibri"/>
          <w:color w:val="000000"/>
          <w:sz w:val="19"/>
          <w:szCs w:val="19"/>
        </w:rPr>
        <w:t>w </w:t>
      </w:r>
      <w:r w:rsidRPr="00AE35C1">
        <w:rPr>
          <w:rFonts w:cs="Calibri"/>
          <w:color w:val="000000"/>
          <w:sz w:val="19"/>
          <w:szCs w:val="19"/>
        </w:rPr>
        <w:t xml:space="preserve">2010 roku 1,9 lekarzy (w Polsce 2,1 lekarzy). Około 17% powiatów charakteryzowało się wyższą od średniej w województwie wartością </w:t>
      </w:r>
      <w:r w:rsidR="009D12EC" w:rsidRPr="00AE35C1">
        <w:rPr>
          <w:rFonts w:cs="Calibri"/>
          <w:color w:val="000000"/>
          <w:sz w:val="19"/>
          <w:szCs w:val="19"/>
        </w:rPr>
        <w:t xml:space="preserve">tego </w:t>
      </w:r>
      <w:r w:rsidRPr="00AE35C1">
        <w:rPr>
          <w:rFonts w:cs="Calibri"/>
          <w:color w:val="000000"/>
          <w:sz w:val="19"/>
          <w:szCs w:val="19"/>
        </w:rPr>
        <w:t>wskaźnika. Najwyższe wartości odnotowały powiaty: miasto Wrocław (5,</w:t>
      </w:r>
      <w:r w:rsidR="00E066C4" w:rsidRPr="00AE35C1">
        <w:rPr>
          <w:rFonts w:cs="Calibri"/>
          <w:color w:val="000000"/>
          <w:sz w:val="19"/>
          <w:szCs w:val="19"/>
        </w:rPr>
        <w:t>2</w:t>
      </w:r>
      <w:r w:rsidRPr="00AE35C1">
        <w:rPr>
          <w:rFonts w:cs="Calibri"/>
          <w:color w:val="000000"/>
          <w:sz w:val="19"/>
          <w:szCs w:val="19"/>
        </w:rPr>
        <w:t>), miasto Jelenia Góra (3,</w:t>
      </w:r>
      <w:r w:rsidR="00E066C4" w:rsidRPr="00AE35C1">
        <w:rPr>
          <w:rFonts w:cs="Calibri"/>
          <w:color w:val="000000"/>
          <w:sz w:val="19"/>
          <w:szCs w:val="19"/>
        </w:rPr>
        <w:t>6</w:t>
      </w:r>
      <w:r w:rsidRPr="00AE35C1">
        <w:rPr>
          <w:rFonts w:cs="Calibri"/>
          <w:color w:val="000000"/>
          <w:sz w:val="19"/>
          <w:szCs w:val="19"/>
        </w:rPr>
        <w:t>), lubiński (3,</w:t>
      </w:r>
      <w:r w:rsidR="00E066C4" w:rsidRPr="00AE35C1">
        <w:rPr>
          <w:rFonts w:cs="Calibri"/>
          <w:color w:val="000000"/>
          <w:sz w:val="19"/>
          <w:szCs w:val="19"/>
        </w:rPr>
        <w:t>0</w:t>
      </w:r>
      <w:r w:rsidRPr="00AE35C1">
        <w:rPr>
          <w:rFonts w:cs="Calibri"/>
          <w:color w:val="000000"/>
          <w:sz w:val="19"/>
          <w:szCs w:val="19"/>
        </w:rPr>
        <w:t xml:space="preserve">), </w:t>
      </w:r>
      <w:r w:rsidR="00E066C4" w:rsidRPr="00AE35C1">
        <w:rPr>
          <w:rFonts w:cs="Calibri"/>
          <w:color w:val="000000"/>
          <w:sz w:val="19"/>
          <w:szCs w:val="19"/>
        </w:rPr>
        <w:t xml:space="preserve">miasto Wałbrzych (2,9) i </w:t>
      </w:r>
      <w:r w:rsidRPr="00AE35C1">
        <w:rPr>
          <w:rFonts w:cs="Calibri"/>
          <w:color w:val="000000"/>
          <w:sz w:val="19"/>
          <w:szCs w:val="19"/>
        </w:rPr>
        <w:t>miasto Legnica (</w:t>
      </w:r>
      <w:r w:rsidR="00E066C4" w:rsidRPr="00AE35C1">
        <w:rPr>
          <w:rFonts w:cs="Calibri"/>
          <w:color w:val="000000"/>
          <w:sz w:val="19"/>
          <w:szCs w:val="19"/>
        </w:rPr>
        <w:t>2,5)</w:t>
      </w:r>
      <w:r w:rsidRPr="00AE35C1">
        <w:rPr>
          <w:rFonts w:cs="Calibri"/>
          <w:color w:val="000000"/>
          <w:sz w:val="19"/>
          <w:szCs w:val="19"/>
        </w:rPr>
        <w:t>. W 2016 roku</w:t>
      </w:r>
      <w:r w:rsidR="00E066C4" w:rsidRPr="00AE35C1">
        <w:rPr>
          <w:rFonts w:cs="Calibri"/>
          <w:color w:val="000000"/>
          <w:sz w:val="19"/>
          <w:szCs w:val="19"/>
        </w:rPr>
        <w:t xml:space="preserve"> w</w:t>
      </w:r>
      <w:r w:rsidR="000666B0" w:rsidRPr="00AE35C1">
        <w:rPr>
          <w:rFonts w:cs="Calibri"/>
          <w:color w:val="000000"/>
          <w:sz w:val="19"/>
          <w:szCs w:val="19"/>
        </w:rPr>
        <w:t> </w:t>
      </w:r>
      <w:r w:rsidR="00E066C4" w:rsidRPr="00AE35C1">
        <w:rPr>
          <w:rFonts w:cs="Calibri"/>
          <w:color w:val="000000"/>
          <w:sz w:val="19"/>
          <w:szCs w:val="19"/>
        </w:rPr>
        <w:t xml:space="preserve">regionie </w:t>
      </w:r>
      <w:r w:rsidR="009D12EC" w:rsidRPr="00AE35C1">
        <w:rPr>
          <w:rFonts w:cs="Calibri"/>
          <w:color w:val="000000"/>
          <w:sz w:val="19"/>
          <w:szCs w:val="19"/>
        </w:rPr>
        <w:t xml:space="preserve">w ramach ambulatoryjnej opieki lekarskiej </w:t>
      </w:r>
      <w:r w:rsidR="00E066C4" w:rsidRPr="00AE35C1">
        <w:rPr>
          <w:rFonts w:cs="Calibri"/>
          <w:color w:val="000000"/>
          <w:sz w:val="19"/>
          <w:szCs w:val="19"/>
        </w:rPr>
        <w:t>udzielono 21</w:t>
      </w:r>
      <w:r w:rsidRPr="00AE35C1">
        <w:rPr>
          <w:rFonts w:cs="Calibri"/>
          <w:color w:val="000000"/>
          <w:sz w:val="19"/>
          <w:szCs w:val="19"/>
        </w:rPr>
        <w:t> </w:t>
      </w:r>
      <w:r w:rsidR="00E066C4" w:rsidRPr="00AE35C1">
        <w:rPr>
          <w:rFonts w:cs="Calibri"/>
          <w:color w:val="000000"/>
          <w:sz w:val="19"/>
          <w:szCs w:val="19"/>
        </w:rPr>
        <w:t>173</w:t>
      </w:r>
      <w:r w:rsidRPr="00AE35C1">
        <w:rPr>
          <w:rFonts w:cs="Calibri"/>
          <w:color w:val="000000"/>
          <w:sz w:val="19"/>
          <w:szCs w:val="19"/>
        </w:rPr>
        <w:t> </w:t>
      </w:r>
      <w:r w:rsidR="00E066C4" w:rsidRPr="00AE35C1">
        <w:rPr>
          <w:rFonts w:cs="Calibri"/>
          <w:color w:val="000000"/>
          <w:sz w:val="19"/>
          <w:szCs w:val="19"/>
        </w:rPr>
        <w:t>916</w:t>
      </w:r>
      <w:r w:rsidR="00AC3ED7" w:rsidRPr="00AE35C1">
        <w:rPr>
          <w:rFonts w:cs="Calibri"/>
          <w:color w:val="000000"/>
          <w:sz w:val="19"/>
          <w:szCs w:val="19"/>
        </w:rPr>
        <w:t xml:space="preserve"> porad ogółem</w:t>
      </w:r>
      <w:r w:rsidRPr="00AE35C1">
        <w:rPr>
          <w:rFonts w:cs="Calibri"/>
          <w:color w:val="000000"/>
          <w:sz w:val="19"/>
          <w:szCs w:val="19"/>
        </w:rPr>
        <w:t>, co stanowiło 7,</w:t>
      </w:r>
      <w:r w:rsidR="00E066C4" w:rsidRPr="00AE35C1">
        <w:rPr>
          <w:rFonts w:cs="Calibri"/>
          <w:color w:val="000000"/>
          <w:sz w:val="19"/>
          <w:szCs w:val="19"/>
        </w:rPr>
        <w:t>5</w:t>
      </w:r>
      <w:r w:rsidRPr="00AE35C1">
        <w:rPr>
          <w:rFonts w:cs="Calibri"/>
          <w:color w:val="000000"/>
          <w:sz w:val="19"/>
          <w:szCs w:val="19"/>
        </w:rPr>
        <w:t>% ogółu porad świadczonych w kraju.</w:t>
      </w:r>
    </w:p>
    <w:p w:rsidR="000C6BE4" w:rsidRPr="00AE35C1" w:rsidRDefault="0077724C" w:rsidP="001E71C6">
      <w:pPr>
        <w:pStyle w:val="MAPA"/>
        <w:spacing w:line="288" w:lineRule="auto"/>
        <w:jc w:val="both"/>
      </w:pPr>
      <w:r w:rsidRPr="00AE35C1">
        <w:br w:type="column"/>
      </w:r>
      <w:r w:rsidR="000C6BE4" w:rsidRPr="00AE35C1">
        <w:lastRenderedPageBreak/>
        <w:t>MAPA 1</w:t>
      </w:r>
      <w:r w:rsidR="004964B3">
        <w:t>5</w:t>
      </w:r>
      <w:r w:rsidR="000C6BE4" w:rsidRPr="00AE35C1">
        <w:t>. Liczba łóżek w szpitalach ogólnych na 10 000 ludnośCi w powiatach województwa dolnośląskiego [2016].</w:t>
      </w:r>
    </w:p>
    <w:p w:rsidR="000C6BE4" w:rsidRPr="00AE35C1" w:rsidRDefault="0055701D" w:rsidP="005F49A2">
      <w:pPr>
        <w:spacing w:after="0" w:line="288" w:lineRule="auto"/>
        <w:jc w:val="center"/>
        <w:rPr>
          <w:color w:val="000000"/>
        </w:rPr>
      </w:pPr>
      <w:r>
        <w:rPr>
          <w:noProof/>
          <w:color w:val="000000"/>
          <w:lang w:eastAsia="pl-PL"/>
        </w:rPr>
        <w:drawing>
          <wp:inline distT="0" distB="0" distL="0" distR="0">
            <wp:extent cx="2781300" cy="2600325"/>
            <wp:effectExtent l="19050" t="0" r="0" b="0"/>
            <wp:docPr id="17" name="Obraz 4" descr="P:\ PROJEKTY 2017\09 SRWD 2030\04_Grafika\jpg\szpitale 04_0801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P:\ PROJEKTY 2017\09 SRWD 2030\04_Grafika\jpg\szpitale 04_08012018.jpg"/>
                    <pic:cNvPicPr>
                      <a:picLocks noChangeAspect="1" noChangeArrowheads="1"/>
                    </pic:cNvPicPr>
                  </pic:nvPicPr>
                  <pic:blipFill>
                    <a:blip r:embed="rId46" cstate="print"/>
                    <a:srcRect/>
                    <a:stretch>
                      <a:fillRect/>
                    </a:stretch>
                  </pic:blipFill>
                  <pic:spPr bwMode="auto">
                    <a:xfrm>
                      <a:off x="0" y="0"/>
                      <a:ext cx="2781300" cy="2600325"/>
                    </a:xfrm>
                    <a:prstGeom prst="rect">
                      <a:avLst/>
                    </a:prstGeom>
                    <a:noFill/>
                    <a:ln w="9525">
                      <a:noFill/>
                      <a:miter lim="800000"/>
                      <a:headEnd/>
                      <a:tailEnd/>
                    </a:ln>
                  </pic:spPr>
                </pic:pic>
              </a:graphicData>
            </a:graphic>
          </wp:inline>
        </w:drawing>
      </w:r>
    </w:p>
    <w:p w:rsidR="000C6BE4" w:rsidRPr="00AE35C1" w:rsidRDefault="000C6BE4" w:rsidP="005F49A2">
      <w:pPr>
        <w:pStyle w:val="RDO"/>
        <w:spacing w:line="288" w:lineRule="auto"/>
        <w:rPr>
          <w:color w:val="000000"/>
        </w:rPr>
      </w:pPr>
      <w:r w:rsidRPr="00AE35C1">
        <w:rPr>
          <w:color w:val="000000"/>
        </w:rPr>
        <w:t>Źródło: opracowanie własne na podstawie danych GUS.</w:t>
      </w:r>
    </w:p>
    <w:p w:rsidR="00D93032" w:rsidRPr="00AE35C1" w:rsidRDefault="00D93032" w:rsidP="00D93032">
      <w:pPr>
        <w:pStyle w:val="TEKST"/>
        <w:spacing w:after="0"/>
        <w:rPr>
          <w:sz w:val="19"/>
          <w:szCs w:val="19"/>
        </w:rPr>
      </w:pPr>
      <w:r w:rsidRPr="00AE35C1">
        <w:rPr>
          <w:b/>
          <w:sz w:val="19"/>
          <w:szCs w:val="19"/>
        </w:rPr>
        <w:t xml:space="preserve">Opieka społeczna. </w:t>
      </w:r>
      <w:r w:rsidRPr="00AE35C1">
        <w:rPr>
          <w:sz w:val="19"/>
          <w:szCs w:val="19"/>
        </w:rPr>
        <w:t xml:space="preserve">W 2016 roku na Dolnym Śląsku funkcjonowało 111 placówek stacjonarnej pomocy społecznej. Od 2010 roku ich liczba wzrosła o 15, tym samym zwiększając o 12,5% liczbę dostępnych miejsc z 7 309 w 2010 roku do 8 223 w 2016 roku. W 2016 roku rzeczywista liczba osób, którym przyznano świadczenia pomocy społecznej wyniosła 93 596 osób (spadek </w:t>
      </w:r>
      <w:r w:rsidRPr="00AE35C1">
        <w:rPr>
          <w:sz w:val="19"/>
          <w:szCs w:val="19"/>
        </w:rPr>
        <w:lastRenderedPageBreak/>
        <w:t>o 31,2% od 2010 roku). Świadczenia przyznano na kwotę 257 625 </w:t>
      </w:r>
      <w:r w:rsidR="00542530" w:rsidRPr="00AE35C1">
        <w:rPr>
          <w:sz w:val="19"/>
          <w:szCs w:val="19"/>
        </w:rPr>
        <w:t>tys. </w:t>
      </w:r>
      <w:r w:rsidRPr="00AE35C1">
        <w:rPr>
          <w:sz w:val="19"/>
          <w:szCs w:val="19"/>
        </w:rPr>
        <w:t xml:space="preserve">zł (5. miejsce w kraju). </w:t>
      </w:r>
    </w:p>
    <w:p w:rsidR="00AC3ED7" w:rsidRPr="00AE35C1" w:rsidRDefault="00AC3ED7" w:rsidP="00AC3ED7">
      <w:pPr>
        <w:pStyle w:val="TEKST"/>
        <w:spacing w:before="120" w:after="0"/>
        <w:rPr>
          <w:rStyle w:val="TEKSTZnak"/>
          <w:rFonts w:eastAsia="Times New Roman"/>
          <w:sz w:val="19"/>
          <w:szCs w:val="19"/>
        </w:rPr>
      </w:pPr>
      <w:r w:rsidRPr="00AE35C1">
        <w:rPr>
          <w:sz w:val="19"/>
          <w:szCs w:val="19"/>
        </w:rPr>
        <w:t>W analizowanym roku na Dolnym Śląsku opieką w </w:t>
      </w:r>
      <w:r w:rsidRPr="00AE35C1">
        <w:rPr>
          <w:b/>
          <w:sz w:val="19"/>
          <w:szCs w:val="19"/>
        </w:rPr>
        <w:t>żłobkach</w:t>
      </w:r>
      <w:r w:rsidRPr="00AE35C1">
        <w:rPr>
          <w:sz w:val="19"/>
          <w:szCs w:val="19"/>
        </w:rPr>
        <w:t xml:space="preserve"> objętych było 12,5% dzieci do lat 3, co </w:t>
      </w:r>
      <w:r w:rsidR="008D344C" w:rsidRPr="00AE35C1">
        <w:rPr>
          <w:sz w:val="19"/>
          <w:szCs w:val="19"/>
        </w:rPr>
        <w:t>stanowiło</w:t>
      </w:r>
      <w:r w:rsidRPr="00AE35C1">
        <w:rPr>
          <w:sz w:val="19"/>
          <w:szCs w:val="19"/>
        </w:rPr>
        <w:t xml:space="preserve"> najwyższy udział w kraju</w:t>
      </w:r>
      <w:r w:rsidR="00805450" w:rsidRPr="00AE35C1">
        <w:rPr>
          <w:sz w:val="19"/>
          <w:szCs w:val="19"/>
        </w:rPr>
        <w:t xml:space="preserve">, a </w:t>
      </w:r>
      <w:r w:rsidRPr="00AE35C1">
        <w:rPr>
          <w:sz w:val="19"/>
          <w:szCs w:val="19"/>
        </w:rPr>
        <w:t xml:space="preserve">w 2010 roku wynosił </w:t>
      </w:r>
      <w:r w:rsidR="00805450" w:rsidRPr="00AE35C1">
        <w:rPr>
          <w:sz w:val="19"/>
          <w:szCs w:val="19"/>
        </w:rPr>
        <w:t xml:space="preserve">on zaledwie </w:t>
      </w:r>
      <w:r w:rsidRPr="00AE35C1">
        <w:rPr>
          <w:sz w:val="19"/>
          <w:szCs w:val="19"/>
        </w:rPr>
        <w:t>4,5%.</w:t>
      </w:r>
    </w:p>
    <w:p w:rsidR="000C6BE4" w:rsidRPr="00AE35C1" w:rsidRDefault="000C6BE4" w:rsidP="001E71C6">
      <w:pPr>
        <w:pStyle w:val="MAPA"/>
        <w:spacing w:line="288" w:lineRule="auto"/>
        <w:jc w:val="both"/>
      </w:pPr>
      <w:r w:rsidRPr="00AE35C1">
        <w:t>mapa 1</w:t>
      </w:r>
      <w:r w:rsidR="004964B3">
        <w:t>6</w:t>
      </w:r>
      <w:r w:rsidRPr="00AE35C1">
        <w:t>. Odsetek dzieci objętych opieką w</w:t>
      </w:r>
      <w:r w:rsidR="006517C0" w:rsidRPr="00AE35C1">
        <w:t> </w:t>
      </w:r>
      <w:r w:rsidRPr="00AE35C1">
        <w:t>żłobkach w powiatach województwa dolnośląskiego [2016].</w:t>
      </w:r>
    </w:p>
    <w:p w:rsidR="000C6BE4" w:rsidRPr="00AE35C1" w:rsidRDefault="0055701D" w:rsidP="005F49A2">
      <w:pPr>
        <w:pStyle w:val="TEKST"/>
        <w:spacing w:after="0"/>
        <w:jc w:val="center"/>
      </w:pPr>
      <w:r>
        <w:rPr>
          <w:noProof/>
          <w:lang w:eastAsia="pl-PL"/>
        </w:rPr>
        <w:drawing>
          <wp:inline distT="0" distB="0" distL="0" distR="0">
            <wp:extent cx="2647950" cy="2476500"/>
            <wp:effectExtent l="19050" t="0" r="0" b="0"/>
            <wp:docPr id="18"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2"/>
                    <pic:cNvPicPr>
                      <a:picLocks noChangeAspect="1" noChangeArrowheads="1"/>
                    </pic:cNvPicPr>
                  </pic:nvPicPr>
                  <pic:blipFill>
                    <a:blip r:embed="rId47" cstate="print"/>
                    <a:srcRect/>
                    <a:stretch>
                      <a:fillRect/>
                    </a:stretch>
                  </pic:blipFill>
                  <pic:spPr bwMode="auto">
                    <a:xfrm>
                      <a:off x="0" y="0"/>
                      <a:ext cx="2647950" cy="2476500"/>
                    </a:xfrm>
                    <a:prstGeom prst="rect">
                      <a:avLst/>
                    </a:prstGeom>
                    <a:noFill/>
                    <a:ln w="9525">
                      <a:noFill/>
                      <a:miter lim="800000"/>
                      <a:headEnd/>
                      <a:tailEnd/>
                    </a:ln>
                  </pic:spPr>
                </pic:pic>
              </a:graphicData>
            </a:graphic>
          </wp:inline>
        </w:drawing>
      </w:r>
    </w:p>
    <w:p w:rsidR="000C6BE4" w:rsidRPr="00AE35C1" w:rsidRDefault="000C6BE4" w:rsidP="005F49A2">
      <w:pPr>
        <w:spacing w:line="288" w:lineRule="auto"/>
        <w:rPr>
          <w:i/>
          <w:color w:val="000000"/>
          <w:sz w:val="16"/>
          <w:szCs w:val="16"/>
        </w:rPr>
      </w:pPr>
      <w:r w:rsidRPr="00AE35C1">
        <w:rPr>
          <w:i/>
          <w:color w:val="000000"/>
          <w:sz w:val="16"/>
          <w:szCs w:val="16"/>
        </w:rPr>
        <w:t>Źródło: opracowanie własne na podstawie danych GUS.</w:t>
      </w:r>
    </w:p>
    <w:p w:rsidR="00BB583E" w:rsidRDefault="00BB583E" w:rsidP="00AB6BCA">
      <w:pPr>
        <w:pStyle w:val="TEKST"/>
        <w:rPr>
          <w:b/>
          <w:sz w:val="19"/>
          <w:szCs w:val="19"/>
        </w:rPr>
        <w:sectPr w:rsidR="00BB583E" w:rsidSect="00BB583E">
          <w:type w:val="continuous"/>
          <w:pgSz w:w="11906" w:h="16838"/>
          <w:pgMar w:top="1276" w:right="1276" w:bottom="1276" w:left="1417" w:header="708" w:footer="708" w:gutter="0"/>
          <w:cols w:num="2" w:space="454"/>
          <w:docGrid w:linePitch="360"/>
        </w:sectPr>
      </w:pPr>
    </w:p>
    <w:p w:rsidR="00AB6BCA" w:rsidRPr="00AE35C1" w:rsidRDefault="00AB6BCA" w:rsidP="00AB6BCA">
      <w:pPr>
        <w:pStyle w:val="TEKST"/>
        <w:rPr>
          <w:sz w:val="19"/>
          <w:szCs w:val="19"/>
        </w:rPr>
      </w:pPr>
      <w:r w:rsidRPr="00AE35C1">
        <w:rPr>
          <w:b/>
          <w:sz w:val="19"/>
          <w:szCs w:val="19"/>
        </w:rPr>
        <w:lastRenderedPageBreak/>
        <w:t xml:space="preserve">Marginalizacja i wykluczenie społeczne. </w:t>
      </w:r>
      <w:r w:rsidRPr="00AE35C1">
        <w:rPr>
          <w:sz w:val="19"/>
          <w:szCs w:val="19"/>
        </w:rPr>
        <w:t>W Polsce w 2016 roku poniżej minimum egzystencji znalazło się 4,9% osób w gospodarstwach domowych. Sytuacja na Dolnym Śląsku wyglądała znacznie korzystniej: 2,9% osób w gospodarstwach domowych charakteryzowało się wskaźnikiem poniżej minimum egzystencji (granicy</w:t>
      </w:r>
      <w:r w:rsidR="00846B7B" w:rsidRPr="00AE35C1">
        <w:rPr>
          <w:sz w:val="19"/>
          <w:szCs w:val="19"/>
        </w:rPr>
        <w:t xml:space="preserve"> ubóstwa skrajnego), co daje 3. </w:t>
      </w:r>
      <w:r w:rsidRPr="00AE35C1">
        <w:rPr>
          <w:sz w:val="19"/>
          <w:szCs w:val="19"/>
        </w:rPr>
        <w:t xml:space="preserve">najkorzystniejszy wskaźnik wśród regionów. Według relatywnej granicy </w:t>
      </w:r>
      <w:r w:rsidRPr="00AE35C1">
        <w:rPr>
          <w:b/>
          <w:sz w:val="19"/>
          <w:szCs w:val="19"/>
        </w:rPr>
        <w:t>ubóstwa</w:t>
      </w:r>
      <w:r w:rsidRPr="00AE35C1">
        <w:rPr>
          <w:sz w:val="19"/>
          <w:szCs w:val="19"/>
        </w:rPr>
        <w:t xml:space="preserve"> (50% średnich miesięcznych wydatków gospodarstw domowych), średnio w Polsce aż 13,9% osób w gospodarstwach domowych zagrożonych </w:t>
      </w:r>
      <w:r w:rsidR="00542530" w:rsidRPr="00AE35C1">
        <w:rPr>
          <w:sz w:val="19"/>
          <w:szCs w:val="19"/>
        </w:rPr>
        <w:t>było</w:t>
      </w:r>
      <w:r w:rsidRPr="00AE35C1">
        <w:rPr>
          <w:sz w:val="19"/>
          <w:szCs w:val="19"/>
        </w:rPr>
        <w:t xml:space="preserve"> ubóstwem. Na Dolnym Śląsku wartość ta wynosiła 10,5%. Natomiast według ustawowej granicy ubóstwa (kwoty, która uprawnia do ubiegania się o przyznanie świ</w:t>
      </w:r>
      <w:r w:rsidR="00846B7B" w:rsidRPr="00AE35C1">
        <w:rPr>
          <w:sz w:val="19"/>
          <w:szCs w:val="19"/>
        </w:rPr>
        <w:t>adczenia z pomocy społecznej) w </w:t>
      </w:r>
      <w:r w:rsidRPr="00AE35C1">
        <w:rPr>
          <w:sz w:val="19"/>
          <w:szCs w:val="19"/>
        </w:rPr>
        <w:t>Polsce 12,7% osób w gospodarstwach domowych żyło poniżej granicy ubóstwa, a na Dolnym Śląsku 9,2%. Do grup ludności najbardziej zagrożonych marginalizacją i </w:t>
      </w:r>
      <w:r w:rsidRPr="00AE35C1">
        <w:rPr>
          <w:b/>
          <w:sz w:val="19"/>
          <w:szCs w:val="19"/>
        </w:rPr>
        <w:t xml:space="preserve">wykluczeniem </w:t>
      </w:r>
      <w:r w:rsidRPr="00AE35C1">
        <w:rPr>
          <w:sz w:val="19"/>
          <w:szCs w:val="19"/>
        </w:rPr>
        <w:t xml:space="preserve">społecznym należą osoby </w:t>
      </w:r>
      <w:r w:rsidR="00324E63" w:rsidRPr="00AE35C1">
        <w:rPr>
          <w:sz w:val="19"/>
          <w:szCs w:val="19"/>
        </w:rPr>
        <w:t>z</w:t>
      </w:r>
      <w:r w:rsidR="00846B7B" w:rsidRPr="00AE35C1">
        <w:rPr>
          <w:sz w:val="19"/>
          <w:szCs w:val="19"/>
        </w:rPr>
        <w:t> </w:t>
      </w:r>
      <w:r w:rsidR="00324E63" w:rsidRPr="00AE35C1">
        <w:rPr>
          <w:sz w:val="19"/>
          <w:szCs w:val="19"/>
        </w:rPr>
        <w:t>niepełnosprawnościami</w:t>
      </w:r>
      <w:r w:rsidR="00805450" w:rsidRPr="00AE35C1">
        <w:rPr>
          <w:sz w:val="19"/>
          <w:szCs w:val="19"/>
        </w:rPr>
        <w:t>,</w:t>
      </w:r>
      <w:r w:rsidRPr="00AE35C1">
        <w:rPr>
          <w:sz w:val="19"/>
          <w:szCs w:val="19"/>
        </w:rPr>
        <w:t xml:space="preserve"> </w:t>
      </w:r>
      <w:r w:rsidR="00805450" w:rsidRPr="00AE35C1">
        <w:rPr>
          <w:sz w:val="19"/>
          <w:szCs w:val="19"/>
        </w:rPr>
        <w:t>których udział w ogóle ludności w</w:t>
      </w:r>
      <w:r w:rsidR="002D75B4" w:rsidRPr="00AE35C1">
        <w:rPr>
          <w:sz w:val="19"/>
          <w:szCs w:val="19"/>
        </w:rPr>
        <w:t>edług  NSP</w:t>
      </w:r>
      <w:r w:rsidR="002D75B4" w:rsidRPr="00AE35C1">
        <w:rPr>
          <w:rStyle w:val="Odwoanieprzypisudolnego"/>
          <w:sz w:val="19"/>
          <w:szCs w:val="19"/>
        </w:rPr>
        <w:footnoteReference w:id="3"/>
      </w:r>
      <w:r w:rsidR="00846B7B" w:rsidRPr="00AE35C1">
        <w:rPr>
          <w:sz w:val="19"/>
          <w:szCs w:val="19"/>
        </w:rPr>
        <w:t xml:space="preserve"> 2011 </w:t>
      </w:r>
      <w:r w:rsidR="00805450" w:rsidRPr="00AE35C1">
        <w:rPr>
          <w:sz w:val="19"/>
          <w:szCs w:val="19"/>
        </w:rPr>
        <w:t xml:space="preserve">wynosił </w:t>
      </w:r>
      <w:r w:rsidR="00846B7B" w:rsidRPr="00AE35C1">
        <w:rPr>
          <w:sz w:val="19"/>
          <w:szCs w:val="19"/>
        </w:rPr>
        <w:t>w </w:t>
      </w:r>
      <w:r w:rsidR="002D75B4" w:rsidRPr="00AE35C1">
        <w:rPr>
          <w:sz w:val="19"/>
          <w:szCs w:val="19"/>
        </w:rPr>
        <w:t xml:space="preserve">Polsce 12,2%, </w:t>
      </w:r>
      <w:r w:rsidR="00805450" w:rsidRPr="00AE35C1">
        <w:rPr>
          <w:sz w:val="19"/>
          <w:szCs w:val="19"/>
        </w:rPr>
        <w:t>a</w:t>
      </w:r>
      <w:r w:rsidR="001B1A15" w:rsidRPr="00AE35C1">
        <w:rPr>
          <w:sz w:val="19"/>
          <w:szCs w:val="19"/>
        </w:rPr>
        <w:t> </w:t>
      </w:r>
      <w:r w:rsidR="002D75B4" w:rsidRPr="00AE35C1">
        <w:rPr>
          <w:sz w:val="19"/>
          <w:szCs w:val="19"/>
        </w:rPr>
        <w:t xml:space="preserve">na Dolnym Śląsku 13,2%. </w:t>
      </w:r>
      <w:r w:rsidR="00C95818" w:rsidRPr="00AE35C1">
        <w:rPr>
          <w:sz w:val="19"/>
          <w:szCs w:val="19"/>
        </w:rPr>
        <w:t>W</w:t>
      </w:r>
      <w:r w:rsidR="00191A1B">
        <w:rPr>
          <w:sz w:val="19"/>
          <w:szCs w:val="19"/>
        </w:rPr>
        <w:t> </w:t>
      </w:r>
      <w:r w:rsidR="00C95818" w:rsidRPr="00AE35C1">
        <w:rPr>
          <w:sz w:val="19"/>
          <w:szCs w:val="19"/>
        </w:rPr>
        <w:t>2016 roku w</w:t>
      </w:r>
      <w:r w:rsidR="002D75B4" w:rsidRPr="00AE35C1">
        <w:rPr>
          <w:sz w:val="19"/>
          <w:szCs w:val="19"/>
        </w:rPr>
        <w:t xml:space="preserve">skaźnik zatrudnienia osób </w:t>
      </w:r>
      <w:r w:rsidR="00AF09B9" w:rsidRPr="00AE35C1">
        <w:rPr>
          <w:sz w:val="19"/>
          <w:szCs w:val="19"/>
        </w:rPr>
        <w:t>z </w:t>
      </w:r>
      <w:r w:rsidR="00324E63" w:rsidRPr="00AE35C1">
        <w:rPr>
          <w:sz w:val="19"/>
          <w:szCs w:val="19"/>
        </w:rPr>
        <w:t>niepełnosprawnościami</w:t>
      </w:r>
      <w:r w:rsidR="00BA3C21" w:rsidRPr="00AE35C1">
        <w:rPr>
          <w:sz w:val="19"/>
          <w:szCs w:val="19"/>
        </w:rPr>
        <w:t xml:space="preserve"> </w:t>
      </w:r>
      <w:r w:rsidR="002D75B4" w:rsidRPr="00AE35C1">
        <w:rPr>
          <w:sz w:val="19"/>
          <w:szCs w:val="19"/>
        </w:rPr>
        <w:t xml:space="preserve"> w wieku </w:t>
      </w:r>
      <w:r w:rsidR="002D75B4" w:rsidRPr="00AE35C1">
        <w:rPr>
          <w:sz w:val="19"/>
          <w:szCs w:val="19"/>
        </w:rPr>
        <w:lastRenderedPageBreak/>
        <w:t xml:space="preserve">16-64 lata </w:t>
      </w:r>
      <w:r w:rsidR="00C95818" w:rsidRPr="00AE35C1">
        <w:rPr>
          <w:sz w:val="19"/>
          <w:szCs w:val="19"/>
        </w:rPr>
        <w:t>(BAEL) wynosił w Polsce 22%, a</w:t>
      </w:r>
      <w:r w:rsidR="001A1B70" w:rsidRPr="00AE35C1">
        <w:rPr>
          <w:sz w:val="19"/>
          <w:szCs w:val="19"/>
        </w:rPr>
        <w:t> </w:t>
      </w:r>
      <w:r w:rsidR="002D75B4" w:rsidRPr="00AE35C1">
        <w:rPr>
          <w:sz w:val="19"/>
          <w:szCs w:val="19"/>
        </w:rPr>
        <w:t>w </w:t>
      </w:r>
      <w:r w:rsidR="00E26B95" w:rsidRPr="00AE35C1">
        <w:rPr>
          <w:sz w:val="19"/>
          <w:szCs w:val="19"/>
        </w:rPr>
        <w:t>w</w:t>
      </w:r>
      <w:r w:rsidR="002D75B4" w:rsidRPr="00AE35C1">
        <w:rPr>
          <w:sz w:val="19"/>
          <w:szCs w:val="19"/>
        </w:rPr>
        <w:t xml:space="preserve">ojewództwie </w:t>
      </w:r>
      <w:r w:rsidR="00E26B95" w:rsidRPr="00AE35C1">
        <w:rPr>
          <w:sz w:val="19"/>
          <w:szCs w:val="19"/>
        </w:rPr>
        <w:t>d</w:t>
      </w:r>
      <w:r w:rsidR="002D75B4" w:rsidRPr="00AE35C1">
        <w:rPr>
          <w:sz w:val="19"/>
          <w:szCs w:val="19"/>
        </w:rPr>
        <w:t xml:space="preserve">olnośląskim 25%. </w:t>
      </w:r>
      <w:r w:rsidR="00C95818" w:rsidRPr="00AE35C1">
        <w:rPr>
          <w:sz w:val="19"/>
          <w:szCs w:val="19"/>
        </w:rPr>
        <w:t>Jednocześnie n</w:t>
      </w:r>
      <w:r w:rsidR="002D75B4" w:rsidRPr="00AE35C1">
        <w:rPr>
          <w:sz w:val="19"/>
          <w:szCs w:val="19"/>
        </w:rPr>
        <w:t>a koniec grudnia 2016 roku w </w:t>
      </w:r>
      <w:r w:rsidR="00C95818" w:rsidRPr="00AE35C1">
        <w:rPr>
          <w:sz w:val="19"/>
          <w:szCs w:val="19"/>
        </w:rPr>
        <w:t xml:space="preserve">dolnośląskich </w:t>
      </w:r>
      <w:r w:rsidRPr="00AE35C1">
        <w:rPr>
          <w:sz w:val="19"/>
          <w:szCs w:val="19"/>
        </w:rPr>
        <w:t xml:space="preserve">powiatowych urzędach pracy zarejestrowanych </w:t>
      </w:r>
      <w:r w:rsidR="00C95818" w:rsidRPr="00AE35C1">
        <w:rPr>
          <w:sz w:val="19"/>
          <w:szCs w:val="19"/>
        </w:rPr>
        <w:t xml:space="preserve">było </w:t>
      </w:r>
      <w:r w:rsidRPr="00AE35C1">
        <w:rPr>
          <w:sz w:val="19"/>
          <w:szCs w:val="19"/>
        </w:rPr>
        <w:t xml:space="preserve">7 140 bezrobotnych osób </w:t>
      </w:r>
      <w:r w:rsidR="00324E63" w:rsidRPr="00AE35C1">
        <w:rPr>
          <w:sz w:val="19"/>
          <w:szCs w:val="19"/>
        </w:rPr>
        <w:t>z</w:t>
      </w:r>
      <w:r w:rsidR="00191A1B">
        <w:rPr>
          <w:sz w:val="19"/>
          <w:szCs w:val="19"/>
        </w:rPr>
        <w:t> </w:t>
      </w:r>
      <w:r w:rsidR="00324E63" w:rsidRPr="00AE35C1">
        <w:rPr>
          <w:sz w:val="19"/>
          <w:szCs w:val="19"/>
        </w:rPr>
        <w:t>niepełnosprawnościami</w:t>
      </w:r>
      <w:r w:rsidR="00C95818" w:rsidRPr="00AE35C1">
        <w:rPr>
          <w:sz w:val="19"/>
          <w:szCs w:val="19"/>
        </w:rPr>
        <w:t>,</w:t>
      </w:r>
      <w:r w:rsidRPr="00AE35C1">
        <w:rPr>
          <w:sz w:val="19"/>
          <w:szCs w:val="19"/>
        </w:rPr>
        <w:t xml:space="preserve"> </w:t>
      </w:r>
      <w:r w:rsidR="00C95818" w:rsidRPr="00AE35C1">
        <w:rPr>
          <w:sz w:val="19"/>
          <w:szCs w:val="19"/>
        </w:rPr>
        <w:t>a ich u</w:t>
      </w:r>
      <w:r w:rsidRPr="00AE35C1">
        <w:rPr>
          <w:sz w:val="19"/>
          <w:szCs w:val="19"/>
        </w:rPr>
        <w:t xml:space="preserve">dział w </w:t>
      </w:r>
      <w:r w:rsidR="00C95818" w:rsidRPr="00AE35C1">
        <w:rPr>
          <w:sz w:val="19"/>
          <w:szCs w:val="19"/>
        </w:rPr>
        <w:t xml:space="preserve">ogóle </w:t>
      </w:r>
      <w:r w:rsidRPr="00AE35C1">
        <w:rPr>
          <w:sz w:val="19"/>
          <w:szCs w:val="19"/>
        </w:rPr>
        <w:t xml:space="preserve">zarejestrowanych bezrobotnych był </w:t>
      </w:r>
      <w:r w:rsidR="00C95818" w:rsidRPr="00AE35C1">
        <w:rPr>
          <w:sz w:val="19"/>
          <w:szCs w:val="19"/>
        </w:rPr>
        <w:t xml:space="preserve">bardzo </w:t>
      </w:r>
      <w:r w:rsidRPr="00AE35C1">
        <w:rPr>
          <w:sz w:val="19"/>
          <w:szCs w:val="19"/>
        </w:rPr>
        <w:t xml:space="preserve">zróżnicowany: od 3,2% w powiecie wołowskim do 12,4% w powiecie zgorzeleckim. </w:t>
      </w:r>
      <w:r w:rsidR="001A1B70" w:rsidRPr="00AE35C1">
        <w:rPr>
          <w:sz w:val="19"/>
          <w:szCs w:val="19"/>
        </w:rPr>
        <w:t>N</w:t>
      </w:r>
      <w:r w:rsidRPr="00AE35C1">
        <w:rPr>
          <w:sz w:val="19"/>
          <w:szCs w:val="19"/>
        </w:rPr>
        <w:t>a 6</w:t>
      </w:r>
      <w:r w:rsidR="00C95818" w:rsidRPr="00AE35C1">
        <w:rPr>
          <w:sz w:val="19"/>
          <w:szCs w:val="19"/>
        </w:rPr>
        <w:t> </w:t>
      </w:r>
      <w:r w:rsidRPr="00AE35C1">
        <w:rPr>
          <w:sz w:val="19"/>
          <w:szCs w:val="19"/>
        </w:rPr>
        <w:t xml:space="preserve">437 ofert pracy ogółem przypadało 477 ofert dla osób </w:t>
      </w:r>
      <w:r w:rsidR="00AF09B9" w:rsidRPr="00AE35C1">
        <w:rPr>
          <w:sz w:val="19"/>
          <w:szCs w:val="19"/>
        </w:rPr>
        <w:t>z </w:t>
      </w:r>
      <w:r w:rsidR="00324E63" w:rsidRPr="00AE35C1">
        <w:rPr>
          <w:sz w:val="19"/>
          <w:szCs w:val="19"/>
        </w:rPr>
        <w:t>niepełnosprawnościami</w:t>
      </w:r>
      <w:r w:rsidR="001A1B70" w:rsidRPr="00AE35C1">
        <w:rPr>
          <w:sz w:val="19"/>
          <w:szCs w:val="19"/>
        </w:rPr>
        <w:t>, czyli</w:t>
      </w:r>
      <w:r w:rsidRPr="00AE35C1">
        <w:rPr>
          <w:sz w:val="19"/>
          <w:szCs w:val="19"/>
        </w:rPr>
        <w:t xml:space="preserve"> </w:t>
      </w:r>
      <w:r w:rsidR="001A1B70" w:rsidRPr="00AE35C1">
        <w:rPr>
          <w:sz w:val="19"/>
          <w:szCs w:val="19"/>
        </w:rPr>
        <w:t>po 67</w:t>
      </w:r>
      <w:r w:rsidRPr="00AE35C1">
        <w:rPr>
          <w:sz w:val="19"/>
          <w:szCs w:val="19"/>
        </w:rPr>
        <w:t xml:space="preserve"> </w:t>
      </w:r>
      <w:r w:rsidR="001A1B70" w:rsidRPr="00AE35C1">
        <w:rPr>
          <w:sz w:val="19"/>
          <w:szCs w:val="19"/>
        </w:rPr>
        <w:t xml:space="preserve">ofert pracy </w:t>
      </w:r>
      <w:r w:rsidRPr="00AE35C1">
        <w:rPr>
          <w:sz w:val="19"/>
          <w:szCs w:val="19"/>
        </w:rPr>
        <w:t>na</w:t>
      </w:r>
      <w:r w:rsidR="001A1B70" w:rsidRPr="00AE35C1">
        <w:rPr>
          <w:sz w:val="19"/>
          <w:szCs w:val="19"/>
        </w:rPr>
        <w:t xml:space="preserve"> </w:t>
      </w:r>
      <w:r w:rsidRPr="00AE35C1">
        <w:rPr>
          <w:sz w:val="19"/>
          <w:szCs w:val="19"/>
        </w:rPr>
        <w:t>1000 bezrobotnych</w:t>
      </w:r>
      <w:r w:rsidR="00324E63" w:rsidRPr="00AE35C1">
        <w:rPr>
          <w:sz w:val="19"/>
          <w:szCs w:val="19"/>
        </w:rPr>
        <w:t xml:space="preserve"> z </w:t>
      </w:r>
      <w:r w:rsidR="001A1B70" w:rsidRPr="00AE35C1">
        <w:rPr>
          <w:sz w:val="19"/>
          <w:szCs w:val="19"/>
        </w:rPr>
        <w:t xml:space="preserve">tej grupy </w:t>
      </w:r>
      <w:r w:rsidRPr="00AE35C1">
        <w:rPr>
          <w:sz w:val="19"/>
          <w:szCs w:val="19"/>
        </w:rPr>
        <w:t>(przy średniej dla Polski wynoszącej 55).</w:t>
      </w:r>
      <w:r w:rsidR="00FB1F5D">
        <w:rPr>
          <w:sz w:val="19"/>
          <w:szCs w:val="19"/>
        </w:rPr>
        <w:t xml:space="preserve"> </w:t>
      </w:r>
      <w:r w:rsidR="00FB1F5D" w:rsidRPr="00FB1F5D">
        <w:rPr>
          <w:sz w:val="19"/>
          <w:szCs w:val="19"/>
        </w:rPr>
        <w:t xml:space="preserve">Ponadto na marginalizację i wykluczenie społeczne osób z najcięższą niepełnosprawnością duży wpływ ma niewystarczająca </w:t>
      </w:r>
      <w:r w:rsidR="00FB1F5D">
        <w:rPr>
          <w:sz w:val="19"/>
          <w:szCs w:val="19"/>
        </w:rPr>
        <w:t>dostępność do</w:t>
      </w:r>
      <w:r w:rsidR="00FB1F5D" w:rsidRPr="00FB1F5D">
        <w:rPr>
          <w:sz w:val="19"/>
          <w:szCs w:val="19"/>
        </w:rPr>
        <w:t xml:space="preserve"> usług asystenckich, co </w:t>
      </w:r>
      <w:r w:rsidR="00FB1F5D">
        <w:rPr>
          <w:sz w:val="19"/>
          <w:szCs w:val="19"/>
        </w:rPr>
        <w:t xml:space="preserve">skutkuje koniecznością </w:t>
      </w:r>
      <w:r w:rsidR="00FB1F5D" w:rsidRPr="00FB1F5D">
        <w:rPr>
          <w:sz w:val="19"/>
          <w:szCs w:val="19"/>
        </w:rPr>
        <w:t xml:space="preserve">zaangażowania </w:t>
      </w:r>
      <w:r w:rsidR="00FB1F5D">
        <w:rPr>
          <w:sz w:val="19"/>
          <w:szCs w:val="19"/>
        </w:rPr>
        <w:t xml:space="preserve">do pomocy i opieki osób </w:t>
      </w:r>
      <w:r w:rsidR="00FB1F5D" w:rsidRPr="00FB1F5D">
        <w:rPr>
          <w:sz w:val="19"/>
          <w:szCs w:val="19"/>
        </w:rPr>
        <w:t>najbliższ</w:t>
      </w:r>
      <w:r w:rsidR="00FB1F5D">
        <w:rPr>
          <w:sz w:val="19"/>
          <w:szCs w:val="19"/>
        </w:rPr>
        <w:t>ych</w:t>
      </w:r>
      <w:r w:rsidR="00943D00">
        <w:rPr>
          <w:sz w:val="19"/>
          <w:szCs w:val="19"/>
        </w:rPr>
        <w:t xml:space="preserve"> (a to przekłada się na </w:t>
      </w:r>
      <w:r w:rsidR="007E7CC7">
        <w:rPr>
          <w:sz w:val="19"/>
          <w:szCs w:val="19"/>
        </w:rPr>
        <w:t xml:space="preserve">ich </w:t>
      </w:r>
      <w:r w:rsidR="00FB1F5D" w:rsidRPr="00FB1F5D">
        <w:rPr>
          <w:sz w:val="19"/>
          <w:szCs w:val="19"/>
        </w:rPr>
        <w:t>rezygnacją z pracy zarobkowej</w:t>
      </w:r>
      <w:r w:rsidR="00943D00">
        <w:rPr>
          <w:sz w:val="19"/>
          <w:szCs w:val="19"/>
        </w:rPr>
        <w:t>)</w:t>
      </w:r>
      <w:r w:rsidR="00FB1F5D" w:rsidRPr="00FB1F5D">
        <w:rPr>
          <w:sz w:val="19"/>
          <w:szCs w:val="19"/>
        </w:rPr>
        <w:t xml:space="preserve">. </w:t>
      </w:r>
      <w:r w:rsidR="00FB1F5D">
        <w:rPr>
          <w:sz w:val="19"/>
          <w:szCs w:val="19"/>
        </w:rPr>
        <w:t>Ponadto n</w:t>
      </w:r>
      <w:r w:rsidR="00FB1F5D" w:rsidRPr="00FB1F5D">
        <w:rPr>
          <w:sz w:val="19"/>
          <w:szCs w:val="19"/>
        </w:rPr>
        <w:t>adal stosunkowo niewielka ilość osób z niepełnosprawnościami wykazuje aktywność społeczną</w:t>
      </w:r>
      <w:r w:rsidR="007E7CC7">
        <w:rPr>
          <w:sz w:val="19"/>
          <w:szCs w:val="19"/>
        </w:rPr>
        <w:t xml:space="preserve"> lub</w:t>
      </w:r>
      <w:r w:rsidR="00FB1F5D">
        <w:rPr>
          <w:sz w:val="19"/>
          <w:szCs w:val="19"/>
        </w:rPr>
        <w:t xml:space="preserve"> </w:t>
      </w:r>
      <w:r w:rsidR="00FB1F5D" w:rsidRPr="00FB1F5D">
        <w:rPr>
          <w:sz w:val="19"/>
          <w:szCs w:val="19"/>
        </w:rPr>
        <w:t>korzysta ze wsparcia organizacji pozarządowych dział</w:t>
      </w:r>
      <w:r w:rsidR="00FB1F5D">
        <w:rPr>
          <w:sz w:val="19"/>
          <w:szCs w:val="19"/>
        </w:rPr>
        <w:t xml:space="preserve">ających na ich rzecz. Częstą przyczyna braku aktywności jest </w:t>
      </w:r>
      <w:r w:rsidR="00FB1F5D" w:rsidRPr="00FB1F5D">
        <w:rPr>
          <w:sz w:val="19"/>
          <w:szCs w:val="19"/>
        </w:rPr>
        <w:t>słaba dostępność przestrzeni publicznej i usług</w:t>
      </w:r>
      <w:r w:rsidR="00FB1F5D">
        <w:rPr>
          <w:sz w:val="19"/>
          <w:szCs w:val="19"/>
        </w:rPr>
        <w:t xml:space="preserve"> (bariery architektoniczne)</w:t>
      </w:r>
      <w:r w:rsidR="00FB1F5D" w:rsidRPr="00FB1F5D">
        <w:rPr>
          <w:sz w:val="19"/>
          <w:szCs w:val="19"/>
        </w:rPr>
        <w:t>.</w:t>
      </w:r>
    </w:p>
    <w:p w:rsidR="00AB6BCA" w:rsidRPr="00AE35C1" w:rsidRDefault="00AB6BCA" w:rsidP="00AB6BCA">
      <w:pPr>
        <w:spacing w:line="288" w:lineRule="auto"/>
        <w:jc w:val="both"/>
        <w:rPr>
          <w:rFonts w:cs="Calibri"/>
          <w:b/>
          <w:color w:val="000000"/>
          <w:sz w:val="19"/>
          <w:szCs w:val="19"/>
        </w:rPr>
      </w:pPr>
      <w:r w:rsidRPr="00AE35C1">
        <w:rPr>
          <w:rFonts w:cs="Calibri"/>
          <w:b/>
          <w:color w:val="000000"/>
          <w:sz w:val="19"/>
          <w:szCs w:val="19"/>
        </w:rPr>
        <w:lastRenderedPageBreak/>
        <w:t xml:space="preserve">Kapitał społeczny. </w:t>
      </w:r>
      <w:r w:rsidRPr="00AE35C1">
        <w:rPr>
          <w:rFonts w:cs="Arial"/>
          <w:color w:val="000000"/>
          <w:sz w:val="19"/>
          <w:szCs w:val="19"/>
        </w:rPr>
        <w:t xml:space="preserve">Rozwój gospodarczy regionu powiązany jest nierozerwalnie z jego rozwojem społecznym. Pod względem liczby </w:t>
      </w:r>
      <w:r w:rsidRPr="00AE35C1">
        <w:rPr>
          <w:rFonts w:cs="Arial"/>
          <w:b/>
          <w:color w:val="000000"/>
          <w:sz w:val="19"/>
          <w:szCs w:val="19"/>
        </w:rPr>
        <w:t>fundacji, stowarzyszeń i organizacji społecznych</w:t>
      </w:r>
      <w:r w:rsidRPr="00AE35C1">
        <w:rPr>
          <w:rFonts w:cs="Arial"/>
          <w:color w:val="000000"/>
          <w:sz w:val="19"/>
          <w:szCs w:val="19"/>
        </w:rPr>
        <w:t xml:space="preserve"> na 10 tys. mieszkańców Dolny Śląsk plasuje się na 2. miejscu w kraju. Przy śred</w:t>
      </w:r>
      <w:r w:rsidR="00AF09B9" w:rsidRPr="00AE35C1">
        <w:rPr>
          <w:rFonts w:cs="Arial"/>
          <w:color w:val="000000"/>
          <w:sz w:val="19"/>
          <w:szCs w:val="19"/>
        </w:rPr>
        <w:t>niej w kraju wynoszącej 36,8, w </w:t>
      </w:r>
      <w:r w:rsidRPr="00AE35C1">
        <w:rPr>
          <w:rFonts w:cs="Arial"/>
          <w:color w:val="000000"/>
          <w:sz w:val="19"/>
          <w:szCs w:val="19"/>
        </w:rPr>
        <w:t>województwie dolnośląskim na 10 000 mieszkańców funkcjonowało 40,4 tego typu instytucji. W 2016 roku na Dolnym Śląsku powstało w przeliczeniu na 10 000 mieszkańców 2,1 nowych fundacji, stowarzyszeń i organizacji społeczn</w:t>
      </w:r>
      <w:r w:rsidR="00AF09B9" w:rsidRPr="00AE35C1">
        <w:rPr>
          <w:rFonts w:cs="Arial"/>
          <w:color w:val="000000"/>
          <w:sz w:val="19"/>
          <w:szCs w:val="19"/>
        </w:rPr>
        <w:t>ych (w Polsce średnio 2,0). Co </w:t>
      </w:r>
      <w:r w:rsidRPr="00AE35C1">
        <w:rPr>
          <w:rFonts w:cs="Arial"/>
          <w:color w:val="000000"/>
          <w:sz w:val="19"/>
          <w:szCs w:val="19"/>
        </w:rPr>
        <w:t>istotne przyrost tego typu instytucji w latach 2010-2016 był na Dolnym Ślą</w:t>
      </w:r>
      <w:r w:rsidR="00AF09B9" w:rsidRPr="00AE35C1">
        <w:rPr>
          <w:rFonts w:cs="Arial"/>
          <w:color w:val="000000"/>
          <w:sz w:val="19"/>
          <w:szCs w:val="19"/>
        </w:rPr>
        <w:t>sku najwyższy w kraju (zmiana o </w:t>
      </w:r>
      <w:r w:rsidRPr="00AE35C1">
        <w:rPr>
          <w:rFonts w:cs="Arial"/>
          <w:color w:val="000000"/>
          <w:sz w:val="19"/>
          <w:szCs w:val="19"/>
        </w:rPr>
        <w:t>42,</w:t>
      </w:r>
      <w:r w:rsidR="001A1B70" w:rsidRPr="00AE35C1">
        <w:rPr>
          <w:rFonts w:cs="Arial"/>
          <w:color w:val="000000"/>
          <w:sz w:val="19"/>
          <w:szCs w:val="19"/>
        </w:rPr>
        <w:t>7</w:t>
      </w:r>
      <w:r w:rsidRPr="00AE35C1">
        <w:rPr>
          <w:rFonts w:cs="Arial"/>
          <w:color w:val="000000"/>
          <w:sz w:val="19"/>
          <w:szCs w:val="19"/>
        </w:rPr>
        <w:t xml:space="preserve">%). </w:t>
      </w:r>
      <w:r w:rsidRPr="00AE35C1">
        <w:rPr>
          <w:rFonts w:cs="Arial"/>
          <w:b/>
          <w:color w:val="000000"/>
          <w:sz w:val="19"/>
          <w:szCs w:val="19"/>
        </w:rPr>
        <w:t xml:space="preserve">Frekwencja wyborcza </w:t>
      </w:r>
      <w:r w:rsidRPr="00AE35C1">
        <w:rPr>
          <w:rFonts w:cs="Arial"/>
          <w:color w:val="000000"/>
          <w:sz w:val="19"/>
          <w:szCs w:val="19"/>
        </w:rPr>
        <w:t xml:space="preserve">na Dolnym Śląsku, zarówno w ostatnich wyborach samorządowych, prezydenckich jak i parlamentarnych każdorazowo była niższa od średniej dla kraju – m.in. w wyborach samorządowych do sejmików województw </w:t>
      </w:r>
      <w:r w:rsidR="001A1B70" w:rsidRPr="00AE35C1">
        <w:rPr>
          <w:rFonts w:cs="Arial"/>
          <w:color w:val="000000"/>
          <w:sz w:val="19"/>
          <w:szCs w:val="19"/>
        </w:rPr>
        <w:t>na Dolnym Śląsku</w:t>
      </w:r>
      <w:r w:rsidR="001A1B70" w:rsidRPr="00AE35C1" w:rsidDel="001A1B70">
        <w:rPr>
          <w:rFonts w:cs="Arial"/>
          <w:color w:val="000000"/>
          <w:sz w:val="19"/>
          <w:szCs w:val="19"/>
        </w:rPr>
        <w:t xml:space="preserve"> </w:t>
      </w:r>
      <w:r w:rsidRPr="00AE35C1">
        <w:rPr>
          <w:rFonts w:cs="Arial"/>
          <w:color w:val="000000"/>
          <w:sz w:val="19"/>
          <w:szCs w:val="19"/>
        </w:rPr>
        <w:t xml:space="preserve">w 2014 roku wzięło udział 44,7% uprawnionych, co było jedną z najniższych </w:t>
      </w:r>
      <w:r w:rsidR="001A1B70" w:rsidRPr="00AE35C1">
        <w:rPr>
          <w:rFonts w:cs="Arial"/>
          <w:color w:val="000000"/>
          <w:sz w:val="19"/>
          <w:szCs w:val="19"/>
        </w:rPr>
        <w:t xml:space="preserve">frekwencji </w:t>
      </w:r>
      <w:r w:rsidRPr="00AE35C1">
        <w:rPr>
          <w:rFonts w:cs="Arial"/>
          <w:color w:val="000000"/>
          <w:sz w:val="19"/>
          <w:szCs w:val="19"/>
        </w:rPr>
        <w:t>w kraju (średnia w</w:t>
      </w:r>
      <w:r w:rsidR="001A1B70" w:rsidRPr="00AE35C1">
        <w:rPr>
          <w:rFonts w:cs="Arial"/>
          <w:color w:val="000000"/>
          <w:sz w:val="19"/>
          <w:szCs w:val="19"/>
        </w:rPr>
        <w:t> </w:t>
      </w:r>
      <w:r w:rsidRPr="00AE35C1">
        <w:rPr>
          <w:rFonts w:cs="Arial"/>
          <w:color w:val="000000"/>
          <w:sz w:val="19"/>
          <w:szCs w:val="19"/>
        </w:rPr>
        <w:t xml:space="preserve">kraju 47,2%). </w:t>
      </w:r>
    </w:p>
    <w:p w:rsidR="00AB6BCA" w:rsidRPr="00AE35C1" w:rsidRDefault="00AB6BCA" w:rsidP="00AB6BCA">
      <w:pPr>
        <w:spacing w:line="288" w:lineRule="auto"/>
        <w:jc w:val="both"/>
        <w:rPr>
          <w:rFonts w:cs="Arial"/>
          <w:color w:val="000000"/>
          <w:sz w:val="19"/>
          <w:szCs w:val="19"/>
        </w:rPr>
      </w:pPr>
      <w:r w:rsidRPr="00AE35C1">
        <w:rPr>
          <w:rFonts w:cs="Calibri"/>
          <w:b/>
          <w:color w:val="000000"/>
          <w:sz w:val="19"/>
          <w:szCs w:val="19"/>
        </w:rPr>
        <w:t xml:space="preserve">Kultura. </w:t>
      </w:r>
      <w:r w:rsidRPr="00AE35C1">
        <w:rPr>
          <w:rFonts w:cs="Calibri"/>
          <w:color w:val="000000"/>
          <w:sz w:val="19"/>
          <w:szCs w:val="19"/>
        </w:rPr>
        <w:t>W regionie</w:t>
      </w:r>
      <w:r w:rsidRPr="00AE35C1">
        <w:rPr>
          <w:rFonts w:cs="Arial"/>
          <w:color w:val="000000"/>
          <w:sz w:val="19"/>
          <w:szCs w:val="19"/>
        </w:rPr>
        <w:t xml:space="preserve"> w 2016 roku działały 593 </w:t>
      </w:r>
      <w:r w:rsidRPr="00AE35C1">
        <w:rPr>
          <w:rFonts w:cs="Arial"/>
          <w:b/>
          <w:color w:val="000000"/>
          <w:sz w:val="19"/>
          <w:szCs w:val="19"/>
        </w:rPr>
        <w:t>biblioteki i ich filie</w:t>
      </w:r>
      <w:r w:rsidRPr="00AE35C1">
        <w:rPr>
          <w:rFonts w:cs="Arial"/>
          <w:color w:val="000000"/>
          <w:sz w:val="19"/>
          <w:szCs w:val="19"/>
        </w:rPr>
        <w:t>, co stanowiło 7,4% ogólnej liczby tego typu placówek w kraju</w:t>
      </w:r>
      <w:r w:rsidR="00B346A3" w:rsidRPr="00AE35C1">
        <w:rPr>
          <w:rFonts w:cs="Arial"/>
          <w:color w:val="000000"/>
          <w:sz w:val="19"/>
          <w:szCs w:val="19"/>
        </w:rPr>
        <w:t>, a ich liczba od</w:t>
      </w:r>
      <w:r w:rsidRPr="00AE35C1">
        <w:rPr>
          <w:rFonts w:cs="Arial"/>
          <w:color w:val="000000"/>
          <w:sz w:val="19"/>
          <w:szCs w:val="19"/>
        </w:rPr>
        <w:t xml:space="preserve"> 2010 roku </w:t>
      </w:r>
      <w:r w:rsidR="00B346A3" w:rsidRPr="00AE35C1">
        <w:rPr>
          <w:rFonts w:cs="Arial"/>
          <w:color w:val="000000"/>
          <w:sz w:val="19"/>
          <w:szCs w:val="19"/>
        </w:rPr>
        <w:t xml:space="preserve">zmniejszyła się </w:t>
      </w:r>
      <w:r w:rsidRPr="00AE35C1">
        <w:rPr>
          <w:rFonts w:cs="Arial"/>
          <w:color w:val="000000"/>
          <w:sz w:val="19"/>
          <w:szCs w:val="19"/>
        </w:rPr>
        <w:t>o</w:t>
      </w:r>
      <w:r w:rsidR="0031490F" w:rsidRPr="00AE35C1">
        <w:rPr>
          <w:rFonts w:cs="Arial"/>
          <w:color w:val="000000"/>
          <w:sz w:val="19"/>
          <w:szCs w:val="19"/>
        </w:rPr>
        <w:t xml:space="preserve"> </w:t>
      </w:r>
      <w:r w:rsidRPr="00AE35C1">
        <w:rPr>
          <w:rFonts w:cs="Arial"/>
          <w:color w:val="000000"/>
          <w:sz w:val="19"/>
          <w:szCs w:val="19"/>
        </w:rPr>
        <w:t xml:space="preserve">46. Pod względem </w:t>
      </w:r>
      <w:r w:rsidRPr="00AE35C1">
        <w:rPr>
          <w:rFonts w:cs="Arial"/>
          <w:b/>
          <w:color w:val="000000"/>
          <w:sz w:val="19"/>
          <w:szCs w:val="19"/>
        </w:rPr>
        <w:t xml:space="preserve">czytelnictwa </w:t>
      </w:r>
      <w:r w:rsidRPr="00AE35C1">
        <w:rPr>
          <w:rFonts w:cs="Arial"/>
          <w:color w:val="000000"/>
          <w:sz w:val="19"/>
          <w:szCs w:val="19"/>
        </w:rPr>
        <w:t xml:space="preserve">Dolny Śląsk wypada słabo w porównaniu z innymi regionami kraju. </w:t>
      </w:r>
      <w:r w:rsidR="0031490F" w:rsidRPr="00AE35C1">
        <w:rPr>
          <w:rFonts w:cs="Arial"/>
          <w:color w:val="000000"/>
          <w:sz w:val="19"/>
          <w:szCs w:val="19"/>
        </w:rPr>
        <w:t>W 2016 roku n</w:t>
      </w:r>
      <w:r w:rsidRPr="00AE35C1">
        <w:rPr>
          <w:rFonts w:cs="Arial"/>
          <w:color w:val="000000"/>
          <w:sz w:val="19"/>
          <w:szCs w:val="19"/>
        </w:rPr>
        <w:t xml:space="preserve">a 1000 ludności członkami bibliotek </w:t>
      </w:r>
      <w:r w:rsidR="00E26B95" w:rsidRPr="00AE35C1">
        <w:rPr>
          <w:rFonts w:cs="Arial"/>
          <w:color w:val="000000"/>
          <w:sz w:val="19"/>
          <w:szCs w:val="19"/>
        </w:rPr>
        <w:t>było</w:t>
      </w:r>
      <w:r w:rsidRPr="00AE35C1">
        <w:rPr>
          <w:rFonts w:cs="Arial"/>
          <w:color w:val="000000"/>
          <w:sz w:val="19"/>
          <w:szCs w:val="19"/>
        </w:rPr>
        <w:t xml:space="preserve"> zaledwie 156 osób (6. miejsce w kraju)</w:t>
      </w:r>
      <w:r w:rsidR="0031490F" w:rsidRPr="00AE35C1">
        <w:rPr>
          <w:rFonts w:cs="Arial"/>
          <w:color w:val="000000"/>
          <w:sz w:val="19"/>
          <w:szCs w:val="19"/>
        </w:rPr>
        <w:t xml:space="preserve">, podczas gdy </w:t>
      </w:r>
      <w:r w:rsidRPr="00AE35C1">
        <w:rPr>
          <w:rFonts w:cs="Arial"/>
          <w:color w:val="000000"/>
          <w:sz w:val="19"/>
          <w:szCs w:val="19"/>
        </w:rPr>
        <w:t xml:space="preserve"> </w:t>
      </w:r>
      <w:r w:rsidR="0031490F" w:rsidRPr="00AE35C1">
        <w:rPr>
          <w:rFonts w:cs="Arial"/>
          <w:color w:val="000000"/>
          <w:sz w:val="19"/>
          <w:szCs w:val="19"/>
        </w:rPr>
        <w:t>ś</w:t>
      </w:r>
      <w:r w:rsidRPr="00AE35C1">
        <w:rPr>
          <w:rFonts w:cs="Arial"/>
          <w:color w:val="000000"/>
          <w:sz w:val="19"/>
          <w:szCs w:val="19"/>
        </w:rPr>
        <w:t>redni</w:t>
      </w:r>
      <w:r w:rsidR="0031490F" w:rsidRPr="00AE35C1">
        <w:rPr>
          <w:rFonts w:cs="Arial"/>
          <w:color w:val="000000"/>
          <w:sz w:val="19"/>
          <w:szCs w:val="19"/>
        </w:rPr>
        <w:t>a</w:t>
      </w:r>
      <w:r w:rsidRPr="00AE35C1">
        <w:rPr>
          <w:rFonts w:cs="Arial"/>
          <w:color w:val="000000"/>
          <w:sz w:val="19"/>
          <w:szCs w:val="19"/>
        </w:rPr>
        <w:t xml:space="preserve"> </w:t>
      </w:r>
      <w:r w:rsidR="0031490F" w:rsidRPr="00AE35C1">
        <w:rPr>
          <w:rFonts w:cs="Arial"/>
          <w:color w:val="000000"/>
          <w:sz w:val="19"/>
          <w:szCs w:val="19"/>
        </w:rPr>
        <w:t xml:space="preserve">wartość tego wskaźnika </w:t>
      </w:r>
      <w:r w:rsidRPr="00AE35C1">
        <w:rPr>
          <w:rFonts w:cs="Arial"/>
          <w:color w:val="000000"/>
          <w:sz w:val="19"/>
          <w:szCs w:val="19"/>
        </w:rPr>
        <w:t>w Polsce wynos</w:t>
      </w:r>
      <w:r w:rsidR="0031490F" w:rsidRPr="00AE35C1">
        <w:rPr>
          <w:rFonts w:cs="Arial"/>
          <w:color w:val="000000"/>
          <w:sz w:val="19"/>
          <w:szCs w:val="19"/>
        </w:rPr>
        <w:t>iła</w:t>
      </w:r>
      <w:r w:rsidRPr="00AE35C1">
        <w:rPr>
          <w:rFonts w:cs="Arial"/>
          <w:color w:val="000000"/>
          <w:sz w:val="19"/>
          <w:szCs w:val="19"/>
        </w:rPr>
        <w:t xml:space="preserve"> </w:t>
      </w:r>
      <w:r w:rsidR="00AF09B9" w:rsidRPr="00AE35C1">
        <w:rPr>
          <w:rFonts w:cs="Arial"/>
          <w:color w:val="000000"/>
          <w:sz w:val="19"/>
          <w:szCs w:val="19"/>
        </w:rPr>
        <w:t>159 osób. Niestety, co </w:t>
      </w:r>
      <w:r w:rsidRPr="00AE35C1">
        <w:rPr>
          <w:rFonts w:cs="Arial"/>
          <w:color w:val="000000"/>
          <w:sz w:val="19"/>
          <w:szCs w:val="19"/>
        </w:rPr>
        <w:t>najbardziej niepok</w:t>
      </w:r>
      <w:r w:rsidR="00AF09B9" w:rsidRPr="00AE35C1">
        <w:rPr>
          <w:rFonts w:cs="Arial"/>
          <w:color w:val="000000"/>
          <w:sz w:val="19"/>
          <w:szCs w:val="19"/>
        </w:rPr>
        <w:t>ojące, wartość tego wskaźnika z </w:t>
      </w:r>
      <w:r w:rsidRPr="00AE35C1">
        <w:rPr>
          <w:rFonts w:cs="Arial"/>
          <w:color w:val="000000"/>
          <w:sz w:val="19"/>
          <w:szCs w:val="19"/>
        </w:rPr>
        <w:t xml:space="preserve">roku na rok obniża się. </w:t>
      </w:r>
      <w:r w:rsidR="00FA0536" w:rsidRPr="00AE35C1">
        <w:rPr>
          <w:rFonts w:cs="Arial"/>
          <w:color w:val="000000"/>
          <w:sz w:val="19"/>
          <w:szCs w:val="19"/>
        </w:rPr>
        <w:t xml:space="preserve">W latach 2010-2016 na Dolnym Śląsku zmniejszyła się także liczba </w:t>
      </w:r>
      <w:r w:rsidR="00FA0536" w:rsidRPr="00AE35C1">
        <w:rPr>
          <w:rFonts w:cs="Arial"/>
          <w:b/>
          <w:color w:val="000000"/>
          <w:sz w:val="19"/>
          <w:szCs w:val="19"/>
        </w:rPr>
        <w:t>galerii i salonów sztuki</w:t>
      </w:r>
      <w:r w:rsidR="00FA0536" w:rsidRPr="00AE35C1">
        <w:rPr>
          <w:rFonts w:cs="Arial"/>
          <w:color w:val="000000"/>
          <w:sz w:val="19"/>
          <w:szCs w:val="19"/>
        </w:rPr>
        <w:t xml:space="preserve"> (z 25 do 23).</w:t>
      </w:r>
    </w:p>
    <w:p w:rsidR="001F50CE" w:rsidRPr="00AE35C1" w:rsidRDefault="001F50CE" w:rsidP="00FA0536">
      <w:pPr>
        <w:pStyle w:val="MAPA"/>
        <w:spacing w:line="288" w:lineRule="auto"/>
        <w:ind w:left="426" w:hanging="426"/>
        <w:jc w:val="both"/>
      </w:pPr>
      <w:r w:rsidRPr="00AE35C1">
        <w:t>mapa 1</w:t>
      </w:r>
      <w:r w:rsidR="004964B3">
        <w:t>7</w:t>
      </w:r>
      <w:r w:rsidRPr="00AE35C1">
        <w:t>. liczba ludności przypadająca na 1  doM, ośrodEK kultury, klub i świetlicĘ w gminach w</w:t>
      </w:r>
      <w:r w:rsidR="00FA0536">
        <w:t> </w:t>
      </w:r>
      <w:r w:rsidRPr="00AE35C1">
        <w:t>województwa dolnośląskiego [2016].</w:t>
      </w:r>
    </w:p>
    <w:p w:rsidR="001F50CE" w:rsidRPr="00AE35C1" w:rsidRDefault="0055701D" w:rsidP="001F50CE">
      <w:pPr>
        <w:pStyle w:val="TEKST"/>
        <w:spacing w:after="0"/>
        <w:jc w:val="center"/>
      </w:pPr>
      <w:r>
        <w:rPr>
          <w:noProof/>
          <w:lang w:eastAsia="pl-PL"/>
        </w:rPr>
        <w:lastRenderedPageBreak/>
        <w:drawing>
          <wp:inline distT="0" distB="0" distL="0" distR="0">
            <wp:extent cx="2729003" cy="2517310"/>
            <wp:effectExtent l="0" t="0" r="0" b="0"/>
            <wp:docPr id="19"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pic:cNvPicPr>
                      <a:picLocks noChangeAspect="1" noChangeArrowheads="1"/>
                    </pic:cNvPicPr>
                  </pic:nvPicPr>
                  <pic:blipFill rotWithShape="1">
                    <a:blip r:embed="rId48" cstate="print"/>
                    <a:srcRect t="1337"/>
                    <a:stretch/>
                  </pic:blipFill>
                  <pic:spPr bwMode="auto">
                    <a:xfrm>
                      <a:off x="0" y="0"/>
                      <a:ext cx="2730683" cy="25188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F50CE" w:rsidRPr="00AE35C1" w:rsidRDefault="001F50CE" w:rsidP="001F50CE">
      <w:pPr>
        <w:spacing w:line="288" w:lineRule="auto"/>
        <w:jc w:val="both"/>
        <w:rPr>
          <w:i/>
          <w:color w:val="000000"/>
          <w:sz w:val="16"/>
          <w:szCs w:val="16"/>
        </w:rPr>
      </w:pPr>
      <w:r w:rsidRPr="00AE35C1">
        <w:rPr>
          <w:i/>
          <w:color w:val="000000"/>
          <w:sz w:val="16"/>
          <w:szCs w:val="16"/>
        </w:rPr>
        <w:t>Źródło: opracowanie własne na podstawie danych GUS.</w:t>
      </w:r>
    </w:p>
    <w:p w:rsidR="00771274" w:rsidRDefault="00771274" w:rsidP="00AB6BCA">
      <w:pPr>
        <w:pStyle w:val="TEKST"/>
        <w:spacing w:after="0"/>
        <w:rPr>
          <w:rFonts w:cs="Arial"/>
          <w:sz w:val="19"/>
          <w:szCs w:val="19"/>
        </w:rPr>
      </w:pPr>
      <w:r w:rsidRPr="00AE35C1">
        <w:rPr>
          <w:rFonts w:cs="Arial"/>
          <w:sz w:val="19"/>
          <w:szCs w:val="19"/>
        </w:rPr>
        <w:t xml:space="preserve">Sukcesywnie wzrastała natomiast liczba </w:t>
      </w:r>
      <w:r w:rsidRPr="00AE35C1">
        <w:rPr>
          <w:rFonts w:cs="Arial"/>
          <w:b/>
          <w:sz w:val="19"/>
          <w:szCs w:val="19"/>
        </w:rPr>
        <w:t>domów i ośrodków kultury oraz klubów i</w:t>
      </w:r>
      <w:r w:rsidR="00FA0536">
        <w:rPr>
          <w:rFonts w:cs="Arial"/>
          <w:b/>
          <w:sz w:val="19"/>
          <w:szCs w:val="19"/>
        </w:rPr>
        <w:t xml:space="preserve"> </w:t>
      </w:r>
      <w:r w:rsidRPr="00AE35C1">
        <w:rPr>
          <w:rFonts w:cs="Arial"/>
          <w:b/>
          <w:sz w:val="19"/>
          <w:szCs w:val="19"/>
        </w:rPr>
        <w:t>świetlic</w:t>
      </w:r>
      <w:r w:rsidRPr="00AE35C1">
        <w:rPr>
          <w:rFonts w:cs="Arial"/>
          <w:sz w:val="19"/>
          <w:szCs w:val="19"/>
        </w:rPr>
        <w:t xml:space="preserve"> (337 w 2016 roku). Trend rosnący wykazuje także liczba </w:t>
      </w:r>
      <w:r w:rsidRPr="00AE35C1">
        <w:rPr>
          <w:rFonts w:cs="Arial"/>
          <w:b/>
          <w:sz w:val="19"/>
          <w:szCs w:val="19"/>
        </w:rPr>
        <w:t xml:space="preserve">imprez </w:t>
      </w:r>
      <w:r w:rsidRPr="00AE35C1">
        <w:rPr>
          <w:rFonts w:cs="Arial"/>
          <w:sz w:val="19"/>
          <w:szCs w:val="19"/>
        </w:rPr>
        <w:t>organizowanych w domach kultury na terenie Dolnego Śląska.</w:t>
      </w:r>
    </w:p>
    <w:p w:rsidR="00AB6BCA" w:rsidRPr="00AE35C1" w:rsidRDefault="00AB6BCA" w:rsidP="00AB6BCA">
      <w:pPr>
        <w:pStyle w:val="TEKST"/>
        <w:spacing w:after="0"/>
        <w:rPr>
          <w:sz w:val="19"/>
          <w:szCs w:val="19"/>
        </w:rPr>
      </w:pPr>
      <w:r w:rsidRPr="00AE35C1">
        <w:rPr>
          <w:rFonts w:cs="Arial"/>
          <w:sz w:val="19"/>
          <w:szCs w:val="19"/>
        </w:rPr>
        <w:t xml:space="preserve">W 2016 roku w województwie dolnośląskim funkcjonowały 72 </w:t>
      </w:r>
      <w:r w:rsidRPr="00AE35C1">
        <w:rPr>
          <w:rFonts w:cs="Arial"/>
          <w:b/>
          <w:sz w:val="19"/>
          <w:szCs w:val="19"/>
        </w:rPr>
        <w:t>muzea</w:t>
      </w:r>
      <w:r w:rsidRPr="00AE35C1">
        <w:rPr>
          <w:rFonts w:cs="Arial"/>
          <w:sz w:val="19"/>
          <w:szCs w:val="19"/>
        </w:rPr>
        <w:t xml:space="preserve"> wraz z oddziałami</w:t>
      </w:r>
      <w:r w:rsidR="002E3FB0" w:rsidRPr="00AE35C1">
        <w:rPr>
          <w:rFonts w:cs="Arial"/>
          <w:sz w:val="19"/>
          <w:szCs w:val="19"/>
        </w:rPr>
        <w:t xml:space="preserve"> (7,6% liczby takich instytucji w Polsce)</w:t>
      </w:r>
      <w:r w:rsidRPr="00AE35C1">
        <w:rPr>
          <w:rFonts w:cs="Arial"/>
          <w:sz w:val="19"/>
          <w:szCs w:val="19"/>
        </w:rPr>
        <w:t>, a ich stan zwiększył się o</w:t>
      </w:r>
      <w:r w:rsidR="002E3FB0" w:rsidRPr="00AE35C1">
        <w:rPr>
          <w:rFonts w:cs="Arial"/>
          <w:sz w:val="19"/>
          <w:szCs w:val="19"/>
        </w:rPr>
        <w:t> </w:t>
      </w:r>
      <w:r w:rsidRPr="00AE35C1">
        <w:rPr>
          <w:rFonts w:cs="Arial"/>
          <w:sz w:val="19"/>
          <w:szCs w:val="19"/>
        </w:rPr>
        <w:t>14 placówek od 2010 roku. Na tle pozostałych województw Dolny Śląsk plasował się na 5. pozycji pod względem liczby</w:t>
      </w:r>
      <w:r w:rsidR="002E3FB0" w:rsidRPr="00AE35C1">
        <w:rPr>
          <w:rFonts w:cs="Arial"/>
          <w:sz w:val="19"/>
          <w:szCs w:val="19"/>
        </w:rPr>
        <w:t xml:space="preserve"> tego typu placówek</w:t>
      </w:r>
      <w:r w:rsidRPr="00AE35C1">
        <w:rPr>
          <w:rFonts w:cs="Arial"/>
          <w:sz w:val="19"/>
          <w:szCs w:val="19"/>
        </w:rPr>
        <w:t xml:space="preserve">, a na 4. pozycji pod względem liczby zwiedzających. W 2016 roku </w:t>
      </w:r>
      <w:r w:rsidR="002E3FB0" w:rsidRPr="00AE35C1">
        <w:rPr>
          <w:rFonts w:cs="Arial"/>
          <w:sz w:val="19"/>
          <w:szCs w:val="19"/>
        </w:rPr>
        <w:t xml:space="preserve">w regionie </w:t>
      </w:r>
      <w:r w:rsidRPr="00AE35C1">
        <w:rPr>
          <w:rFonts w:cs="Arial"/>
          <w:sz w:val="19"/>
          <w:szCs w:val="19"/>
        </w:rPr>
        <w:t>działało</w:t>
      </w:r>
      <w:r w:rsidRPr="00AE35C1" w:rsidDel="008B7D13">
        <w:rPr>
          <w:rFonts w:cs="Arial"/>
          <w:sz w:val="19"/>
          <w:szCs w:val="19"/>
        </w:rPr>
        <w:t xml:space="preserve"> </w:t>
      </w:r>
      <w:r w:rsidRPr="00AE35C1">
        <w:rPr>
          <w:rFonts w:cs="Arial"/>
          <w:sz w:val="19"/>
          <w:szCs w:val="19"/>
        </w:rPr>
        <w:t>17 </w:t>
      </w:r>
      <w:r w:rsidRPr="00AE35C1">
        <w:rPr>
          <w:rFonts w:cs="Arial"/>
          <w:b/>
          <w:sz w:val="19"/>
          <w:szCs w:val="19"/>
        </w:rPr>
        <w:t>teatrów i instytucji muzycznych</w:t>
      </w:r>
      <w:r w:rsidRPr="00AE35C1">
        <w:rPr>
          <w:rFonts w:cs="Arial"/>
          <w:sz w:val="19"/>
          <w:szCs w:val="19"/>
        </w:rPr>
        <w:t xml:space="preserve"> (4. miejsce w kraju). Instytucje te dysponowały 8 624 miejscami na widowniach w salach stałych i zorganizowano w nich 5 926 przedstawień i koncertów. </w:t>
      </w:r>
      <w:r w:rsidR="002E3FB0" w:rsidRPr="00AE35C1">
        <w:rPr>
          <w:rFonts w:cs="Arial"/>
          <w:sz w:val="19"/>
          <w:szCs w:val="19"/>
        </w:rPr>
        <w:t>N</w:t>
      </w:r>
      <w:r w:rsidRPr="00AE35C1">
        <w:rPr>
          <w:rFonts w:cs="Arial"/>
          <w:sz w:val="19"/>
          <w:szCs w:val="19"/>
        </w:rPr>
        <w:t xml:space="preserve">a Dolnym Śląsku </w:t>
      </w:r>
      <w:r w:rsidR="002E3FB0" w:rsidRPr="00AE35C1">
        <w:rPr>
          <w:rFonts w:cs="Arial"/>
          <w:sz w:val="19"/>
          <w:szCs w:val="19"/>
        </w:rPr>
        <w:t xml:space="preserve">funkcjonowały </w:t>
      </w:r>
      <w:r w:rsidRPr="00AE35C1">
        <w:rPr>
          <w:rFonts w:cs="Arial"/>
          <w:sz w:val="19"/>
          <w:szCs w:val="19"/>
        </w:rPr>
        <w:t xml:space="preserve">też 42 </w:t>
      </w:r>
      <w:r w:rsidRPr="00AE35C1">
        <w:rPr>
          <w:rFonts w:cs="Arial"/>
          <w:b/>
          <w:sz w:val="19"/>
          <w:szCs w:val="19"/>
        </w:rPr>
        <w:t>kina</w:t>
      </w:r>
      <w:r w:rsidRPr="00AE35C1">
        <w:rPr>
          <w:rFonts w:cs="Arial"/>
          <w:sz w:val="19"/>
          <w:szCs w:val="19"/>
        </w:rPr>
        <w:t>, które dysponowały łącznie 28 836 miejscami na widowni. Odwiedziło je 4 882 862 widzów (wzrost o ponad 48% względem 2010 roku).</w:t>
      </w:r>
    </w:p>
    <w:p w:rsidR="00AB6BCA" w:rsidRPr="00AE35C1" w:rsidRDefault="000D1592" w:rsidP="000D1592">
      <w:pPr>
        <w:spacing w:before="120" w:line="288" w:lineRule="auto"/>
        <w:jc w:val="both"/>
        <w:rPr>
          <w:color w:val="000000"/>
          <w:sz w:val="19"/>
          <w:szCs w:val="19"/>
        </w:rPr>
      </w:pPr>
      <w:r w:rsidRPr="00AE35C1">
        <w:rPr>
          <w:b/>
          <w:color w:val="000000"/>
          <w:sz w:val="19"/>
          <w:szCs w:val="19"/>
        </w:rPr>
        <w:t>Sport.</w:t>
      </w:r>
      <w:r w:rsidRPr="00AE35C1">
        <w:rPr>
          <w:color w:val="000000"/>
          <w:sz w:val="19"/>
          <w:szCs w:val="19"/>
        </w:rPr>
        <w:t xml:space="preserve"> </w:t>
      </w:r>
      <w:r w:rsidR="00AB6BCA" w:rsidRPr="00AE35C1">
        <w:rPr>
          <w:color w:val="000000"/>
          <w:sz w:val="19"/>
          <w:szCs w:val="19"/>
        </w:rPr>
        <w:t xml:space="preserve">W 2016 roku na Dolnym Śląsku było zarejestrowanych 1 308 </w:t>
      </w:r>
      <w:r w:rsidR="00AB6BCA" w:rsidRPr="00AE35C1">
        <w:rPr>
          <w:b/>
          <w:color w:val="000000"/>
          <w:sz w:val="19"/>
          <w:szCs w:val="19"/>
        </w:rPr>
        <w:t>klubów sportowych</w:t>
      </w:r>
      <w:r w:rsidR="00AB6BCA" w:rsidRPr="00AE35C1">
        <w:rPr>
          <w:color w:val="000000"/>
          <w:sz w:val="19"/>
          <w:szCs w:val="19"/>
        </w:rPr>
        <w:t xml:space="preserve"> (6. miejsce w kraju), </w:t>
      </w:r>
      <w:r w:rsidR="002E3FB0" w:rsidRPr="00AE35C1">
        <w:rPr>
          <w:color w:val="000000"/>
          <w:sz w:val="19"/>
          <w:szCs w:val="19"/>
        </w:rPr>
        <w:t xml:space="preserve">a ich </w:t>
      </w:r>
      <w:r w:rsidR="00AB6BCA" w:rsidRPr="00AE35C1">
        <w:rPr>
          <w:color w:val="000000"/>
          <w:sz w:val="19"/>
          <w:szCs w:val="19"/>
        </w:rPr>
        <w:t>liczba w stosunku do 2010 roku wzrosła o 322. W tym samym roku odnotowano też 81 318 członków klubów</w:t>
      </w:r>
      <w:r w:rsidR="002E3FB0" w:rsidRPr="00AE35C1">
        <w:rPr>
          <w:color w:val="000000"/>
          <w:sz w:val="19"/>
          <w:szCs w:val="19"/>
        </w:rPr>
        <w:t xml:space="preserve"> (5. miejsce w kraju)</w:t>
      </w:r>
      <w:r w:rsidR="00AB6BCA" w:rsidRPr="00AE35C1">
        <w:rPr>
          <w:color w:val="000000"/>
          <w:sz w:val="19"/>
          <w:szCs w:val="19"/>
        </w:rPr>
        <w:t>, co oznaczało wzrost ich liczby względem 2010 </w:t>
      </w:r>
      <w:r w:rsidR="00AF09B9" w:rsidRPr="00AE35C1">
        <w:rPr>
          <w:color w:val="000000"/>
          <w:sz w:val="19"/>
          <w:szCs w:val="19"/>
        </w:rPr>
        <w:t>roku o prawie 72%</w:t>
      </w:r>
      <w:r w:rsidR="00AB6BCA" w:rsidRPr="00AE35C1">
        <w:rPr>
          <w:color w:val="000000"/>
          <w:sz w:val="19"/>
          <w:szCs w:val="19"/>
        </w:rPr>
        <w:t>.</w:t>
      </w:r>
    </w:p>
    <w:p w:rsidR="001A0A84" w:rsidRPr="00AE35C1" w:rsidRDefault="001A0A84" w:rsidP="001A0A84">
      <w:pPr>
        <w:spacing w:before="120" w:line="288" w:lineRule="auto"/>
        <w:jc w:val="both"/>
        <w:rPr>
          <w:rFonts w:ascii="Arial" w:eastAsia="Times New Roman" w:hAnsi="Arial" w:cs="Arial"/>
          <w:color w:val="606060"/>
          <w:sz w:val="18"/>
          <w:szCs w:val="18"/>
          <w:lang w:eastAsia="pl-PL"/>
        </w:rPr>
      </w:pPr>
      <w:r w:rsidRPr="00AE35C1">
        <w:rPr>
          <w:b/>
          <w:color w:val="000000"/>
          <w:sz w:val="19"/>
          <w:szCs w:val="19"/>
        </w:rPr>
        <w:t>Wojewódzka Rada Dialogu Społecznego.</w:t>
      </w:r>
      <w:r w:rsidRPr="00AE35C1">
        <w:rPr>
          <w:color w:val="000000"/>
          <w:sz w:val="19"/>
          <w:szCs w:val="19"/>
        </w:rPr>
        <w:t xml:space="preserve"> W</w:t>
      </w:r>
      <w:r w:rsidR="0025610F" w:rsidRPr="00AE35C1">
        <w:rPr>
          <w:color w:val="000000"/>
          <w:sz w:val="19"/>
          <w:szCs w:val="19"/>
        </w:rPr>
        <w:t> </w:t>
      </w:r>
      <w:r w:rsidRPr="00AE35C1">
        <w:rPr>
          <w:color w:val="000000"/>
          <w:sz w:val="19"/>
          <w:szCs w:val="19"/>
        </w:rPr>
        <w:t>województwie dolnośląskim funkcjonuje Wojewódzka Rada Dialogu Społecznego</w:t>
      </w:r>
      <w:r w:rsidR="0059045B" w:rsidRPr="00AE35C1">
        <w:rPr>
          <w:color w:val="000000"/>
          <w:sz w:val="19"/>
          <w:szCs w:val="19"/>
        </w:rPr>
        <w:t xml:space="preserve"> (WRDS), której</w:t>
      </w:r>
      <w:r w:rsidRPr="00AE35C1">
        <w:rPr>
          <w:color w:val="000000"/>
          <w:sz w:val="19"/>
          <w:szCs w:val="19"/>
        </w:rPr>
        <w:t xml:space="preserve"> </w:t>
      </w:r>
      <w:r w:rsidR="0059045B" w:rsidRPr="00AE35C1">
        <w:rPr>
          <w:color w:val="000000"/>
          <w:sz w:val="19"/>
          <w:szCs w:val="19"/>
        </w:rPr>
        <w:t>c</w:t>
      </w:r>
      <w:r w:rsidRPr="00AE35C1">
        <w:rPr>
          <w:color w:val="000000"/>
          <w:sz w:val="19"/>
          <w:szCs w:val="19"/>
        </w:rPr>
        <w:t>złonkami są: marszałek województwa, wojewoda, przedstawiciele reprezentatywnych organizacji związkowych oraz organizacji pracodawców. WRDS pełni rolę doradczą i</w:t>
      </w:r>
      <w:r w:rsidR="0025610F" w:rsidRPr="00AE35C1">
        <w:rPr>
          <w:color w:val="000000"/>
          <w:sz w:val="19"/>
          <w:szCs w:val="19"/>
        </w:rPr>
        <w:t> </w:t>
      </w:r>
      <w:r w:rsidRPr="00AE35C1">
        <w:rPr>
          <w:color w:val="000000"/>
          <w:sz w:val="19"/>
          <w:szCs w:val="19"/>
        </w:rPr>
        <w:t>opiniodawczą. Do jej głównych kompetencji należy wyrażanie opinii w sprawach objętych zakresem zadań zwi</w:t>
      </w:r>
      <w:r w:rsidR="00AF09B9" w:rsidRPr="00AE35C1">
        <w:rPr>
          <w:color w:val="000000"/>
          <w:sz w:val="19"/>
          <w:szCs w:val="19"/>
        </w:rPr>
        <w:t xml:space="preserve">ązków zawodowych </w:t>
      </w:r>
      <w:r w:rsidR="00AF09B9" w:rsidRPr="00AE35C1">
        <w:rPr>
          <w:color w:val="000000"/>
          <w:sz w:val="19"/>
          <w:szCs w:val="19"/>
        </w:rPr>
        <w:lastRenderedPageBreak/>
        <w:t>lub </w:t>
      </w:r>
      <w:r w:rsidRPr="00AE35C1">
        <w:rPr>
          <w:color w:val="000000"/>
          <w:sz w:val="19"/>
          <w:szCs w:val="19"/>
        </w:rPr>
        <w:t>organizacji pracodawców, będących w kompetencji administracji rządowej i</w:t>
      </w:r>
      <w:r w:rsidR="0025610F" w:rsidRPr="00AE35C1">
        <w:rPr>
          <w:color w:val="000000"/>
          <w:sz w:val="19"/>
          <w:szCs w:val="19"/>
        </w:rPr>
        <w:t> </w:t>
      </w:r>
      <w:r w:rsidRPr="00AE35C1">
        <w:rPr>
          <w:color w:val="000000"/>
          <w:sz w:val="19"/>
          <w:szCs w:val="19"/>
        </w:rPr>
        <w:t>samorządowej z</w:t>
      </w:r>
      <w:r w:rsidR="00486601" w:rsidRPr="00AE35C1">
        <w:rPr>
          <w:color w:val="000000"/>
          <w:sz w:val="19"/>
          <w:szCs w:val="19"/>
        </w:rPr>
        <w:t> </w:t>
      </w:r>
      <w:r w:rsidRPr="00AE35C1">
        <w:rPr>
          <w:color w:val="000000"/>
          <w:sz w:val="19"/>
          <w:szCs w:val="19"/>
        </w:rPr>
        <w:t>terenu województwa oraz opiniowanie projektów strategii rozwoju województwa i innych programów w zakresie objętym zadaniami związków zawodowych i organizacji pracodawców oraz przygotowywanie spr</w:t>
      </w:r>
      <w:r w:rsidR="00AF09B9" w:rsidRPr="00AE35C1">
        <w:rPr>
          <w:color w:val="000000"/>
          <w:sz w:val="19"/>
          <w:szCs w:val="19"/>
        </w:rPr>
        <w:t>awozdań z </w:t>
      </w:r>
      <w:r w:rsidRPr="00AE35C1">
        <w:rPr>
          <w:color w:val="000000"/>
          <w:sz w:val="19"/>
          <w:szCs w:val="19"/>
        </w:rPr>
        <w:t>realizacji tych zadań. Wojewódzka Rada Dialogu Społecznego może również rozpatrywać sprawy</w:t>
      </w:r>
      <w:r w:rsidR="00AF09B9" w:rsidRPr="00AE35C1">
        <w:rPr>
          <w:color w:val="000000"/>
          <w:sz w:val="19"/>
          <w:szCs w:val="19"/>
        </w:rPr>
        <w:t xml:space="preserve"> o </w:t>
      </w:r>
      <w:r w:rsidRPr="00AE35C1">
        <w:rPr>
          <w:color w:val="000000"/>
          <w:sz w:val="19"/>
          <w:szCs w:val="19"/>
        </w:rPr>
        <w:t>zasięgu wojewódzkim, które zostały przekazane pr</w:t>
      </w:r>
      <w:r w:rsidR="000666B0" w:rsidRPr="00AE35C1">
        <w:rPr>
          <w:color w:val="000000"/>
          <w:sz w:val="19"/>
          <w:szCs w:val="19"/>
        </w:rPr>
        <w:t>zez Radę Dialogu Społecznego, a </w:t>
      </w:r>
      <w:r w:rsidRPr="00AE35C1">
        <w:rPr>
          <w:color w:val="000000"/>
          <w:sz w:val="19"/>
          <w:szCs w:val="19"/>
        </w:rPr>
        <w:t xml:space="preserve">także przekazywać Radzie Dialogu Społecznego oraz organom administracji publicznej rekomendowanych rozwiązań i propozycji zmian prawnych. WRDS ma również możliwość rozpatrywania spraw społecznych lub gospodarczych powodujących </w:t>
      </w:r>
      <w:r w:rsidR="00AF09B9" w:rsidRPr="00AE35C1">
        <w:rPr>
          <w:color w:val="000000"/>
          <w:sz w:val="19"/>
          <w:szCs w:val="19"/>
        </w:rPr>
        <w:t>konflikty między pracodawcami a </w:t>
      </w:r>
      <w:r w:rsidRPr="00AE35C1">
        <w:rPr>
          <w:color w:val="000000"/>
          <w:sz w:val="19"/>
          <w:szCs w:val="19"/>
        </w:rPr>
        <w:t>pracownikami, jeżeli zostaną one uznane za istotne dla zachowania pokoju społecznego.</w:t>
      </w:r>
    </w:p>
    <w:p w:rsidR="000D1592" w:rsidRPr="00AE35C1" w:rsidRDefault="000D1592" w:rsidP="000D1592">
      <w:pPr>
        <w:pStyle w:val="Nagwek3"/>
        <w:rPr>
          <w:rFonts w:ascii="Calibri" w:eastAsia="Calibri" w:hAnsi="Calibri" w:cs="Arial"/>
          <w:sz w:val="19"/>
          <w:szCs w:val="19"/>
        </w:rPr>
      </w:pPr>
      <w:bookmarkStart w:id="30" w:name="_Toc499582775"/>
      <w:bookmarkStart w:id="31" w:name="_Toc511716310"/>
      <w:r w:rsidRPr="00AE35C1">
        <w:t>TURYSTYKA</w:t>
      </w:r>
      <w:bookmarkEnd w:id="30"/>
      <w:bookmarkEnd w:id="31"/>
    </w:p>
    <w:p w:rsidR="000D1592" w:rsidRPr="00AE35C1" w:rsidRDefault="000D1592" w:rsidP="000D1592">
      <w:pPr>
        <w:spacing w:after="120" w:line="288" w:lineRule="auto"/>
        <w:jc w:val="both"/>
        <w:rPr>
          <w:rFonts w:cs="Arial"/>
          <w:color w:val="000000"/>
          <w:sz w:val="19"/>
          <w:szCs w:val="19"/>
        </w:rPr>
      </w:pPr>
      <w:r w:rsidRPr="00AE35C1">
        <w:rPr>
          <w:rFonts w:cs="Arial"/>
          <w:color w:val="000000"/>
          <w:sz w:val="19"/>
          <w:szCs w:val="19"/>
        </w:rPr>
        <w:t xml:space="preserve">Największy </w:t>
      </w:r>
      <w:r w:rsidRPr="00AE35C1">
        <w:rPr>
          <w:rFonts w:cs="Arial"/>
          <w:b/>
          <w:color w:val="000000"/>
          <w:sz w:val="19"/>
          <w:szCs w:val="19"/>
        </w:rPr>
        <w:t xml:space="preserve">ruch turystyczny </w:t>
      </w:r>
      <w:r w:rsidR="0025610F" w:rsidRPr="00AE35C1">
        <w:rPr>
          <w:rFonts w:cs="Arial"/>
          <w:color w:val="000000"/>
          <w:sz w:val="19"/>
          <w:szCs w:val="19"/>
        </w:rPr>
        <w:t xml:space="preserve">w </w:t>
      </w:r>
      <w:r w:rsidRPr="00AE35C1">
        <w:rPr>
          <w:rFonts w:cs="Arial"/>
          <w:color w:val="000000"/>
          <w:sz w:val="19"/>
          <w:szCs w:val="19"/>
        </w:rPr>
        <w:t>2016 roku koncentrował się we Wrocławiu oraz w powiatach sudeckich, zaliczonych do obszarów o najwyższym stopniu rozwoju funkcji turystycznej w Polsce.</w:t>
      </w:r>
      <w:r w:rsidR="0025610F" w:rsidRPr="00AE35C1">
        <w:rPr>
          <w:rFonts w:cs="Arial"/>
          <w:color w:val="000000"/>
          <w:sz w:val="19"/>
          <w:szCs w:val="19"/>
        </w:rPr>
        <w:t xml:space="preserve"> </w:t>
      </w:r>
      <w:r w:rsidRPr="00AE35C1">
        <w:rPr>
          <w:rFonts w:cs="Arial"/>
          <w:color w:val="000000"/>
          <w:sz w:val="19"/>
          <w:szCs w:val="19"/>
        </w:rPr>
        <w:t>W</w:t>
      </w:r>
      <w:r w:rsidR="0025610F" w:rsidRPr="00AE35C1">
        <w:rPr>
          <w:rFonts w:cs="Arial"/>
          <w:color w:val="000000"/>
          <w:sz w:val="19"/>
          <w:szCs w:val="19"/>
        </w:rPr>
        <w:t> </w:t>
      </w:r>
      <w:r w:rsidRPr="00AE35C1">
        <w:rPr>
          <w:rFonts w:cs="Arial"/>
          <w:color w:val="000000"/>
          <w:sz w:val="19"/>
          <w:szCs w:val="19"/>
        </w:rPr>
        <w:t xml:space="preserve">badanym okresie z bazy noclegowej województwa skorzystało 3,1 mln turystów, co stanowiło 10,2% liczby krajowych turystów. </w:t>
      </w:r>
    </w:p>
    <w:p w:rsidR="000D1592" w:rsidRPr="00AE35C1" w:rsidRDefault="000D1592" w:rsidP="00E7427F">
      <w:pPr>
        <w:pStyle w:val="MAPA"/>
        <w:spacing w:before="80"/>
        <w:ind w:left="709" w:hanging="709"/>
        <w:jc w:val="both"/>
      </w:pPr>
      <w:r w:rsidRPr="00AE35C1">
        <w:t xml:space="preserve">MAPA </w:t>
      </w:r>
      <w:r w:rsidR="006517C0" w:rsidRPr="00AE35C1">
        <w:t>1</w:t>
      </w:r>
      <w:r w:rsidR="004964B3">
        <w:t>8</w:t>
      </w:r>
      <w:r w:rsidRPr="00AE35C1">
        <w:t>. Turyści korzystający z obiektów noclegowych w</w:t>
      </w:r>
      <w:r w:rsidR="001D1B69" w:rsidRPr="00AE35C1">
        <w:t xml:space="preserve"> </w:t>
      </w:r>
      <w:r w:rsidRPr="00AE35C1">
        <w:t>powiatach województwa dolnośląskego [2010-2016].</w:t>
      </w:r>
    </w:p>
    <w:p w:rsidR="000D1592" w:rsidRPr="00AE35C1" w:rsidRDefault="0055701D" w:rsidP="000D1592">
      <w:pPr>
        <w:pStyle w:val="TEKST"/>
        <w:spacing w:after="0"/>
      </w:pPr>
      <w:r>
        <w:rPr>
          <w:noProof/>
          <w:lang w:eastAsia="pl-PL"/>
        </w:rPr>
        <w:drawing>
          <wp:inline distT="0" distB="0" distL="0" distR="0">
            <wp:extent cx="2781300" cy="2600325"/>
            <wp:effectExtent l="19050" t="0" r="0" b="0"/>
            <wp:docPr id="2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49" cstate="print"/>
                    <a:srcRect/>
                    <a:stretch>
                      <a:fillRect/>
                    </a:stretch>
                  </pic:blipFill>
                  <pic:spPr bwMode="auto">
                    <a:xfrm>
                      <a:off x="0" y="0"/>
                      <a:ext cx="2781300" cy="2600325"/>
                    </a:xfrm>
                    <a:prstGeom prst="rect">
                      <a:avLst/>
                    </a:prstGeom>
                    <a:noFill/>
                    <a:ln w="9525">
                      <a:noFill/>
                      <a:miter lim="800000"/>
                      <a:headEnd/>
                      <a:tailEnd/>
                    </a:ln>
                  </pic:spPr>
                </pic:pic>
              </a:graphicData>
            </a:graphic>
          </wp:inline>
        </w:drawing>
      </w:r>
    </w:p>
    <w:p w:rsidR="001A0A84" w:rsidRDefault="000D1592" w:rsidP="000D1592">
      <w:pPr>
        <w:pStyle w:val="RDO"/>
        <w:rPr>
          <w:rFonts w:eastAsia="Calibri"/>
          <w:color w:val="000000"/>
          <w:lang w:eastAsia="en-US"/>
        </w:rPr>
      </w:pPr>
      <w:r w:rsidRPr="00AE35C1">
        <w:rPr>
          <w:rFonts w:eastAsia="Calibri"/>
          <w:color w:val="000000"/>
          <w:lang w:eastAsia="en-US"/>
        </w:rPr>
        <w:lastRenderedPageBreak/>
        <w:t>Źródło: opracowanie własne na podstawie danych GUS.</w:t>
      </w:r>
    </w:p>
    <w:p w:rsidR="00C540F1" w:rsidRPr="00AE35C1" w:rsidRDefault="00C540F1" w:rsidP="00C540F1">
      <w:pPr>
        <w:pStyle w:val="RDO"/>
        <w:spacing w:line="276" w:lineRule="auto"/>
        <w:rPr>
          <w:rFonts w:eastAsia="Calibri"/>
          <w:color w:val="000000"/>
          <w:lang w:eastAsia="en-US"/>
        </w:rPr>
      </w:pPr>
      <w:r w:rsidRPr="00AE35C1">
        <w:rPr>
          <w:i w:val="0"/>
          <w:color w:val="000000"/>
          <w:sz w:val="19"/>
          <w:szCs w:val="19"/>
        </w:rPr>
        <w:t xml:space="preserve">Baza noclegowa w województwie dolnośląskim obejmowała w 2016 roku  950 obiektów noclegowych, co stanowiło 9% zasobów krajowych. W latach 2010-2016 liczba obiektów noclegowych w województwie wzrosła o 224 obiekty, a liczba miejsc noclegowych zwiększyła się o 25%. W 2016 roku województwo dolnośląskie z liczbą ponad 6,5 mln </w:t>
      </w:r>
      <w:r w:rsidRPr="00AE35C1">
        <w:rPr>
          <w:b/>
          <w:i w:val="0"/>
          <w:color w:val="000000"/>
          <w:sz w:val="19"/>
          <w:szCs w:val="19"/>
        </w:rPr>
        <w:t>noclegów</w:t>
      </w:r>
      <w:r w:rsidRPr="00AE35C1">
        <w:rPr>
          <w:i w:val="0"/>
          <w:color w:val="000000"/>
          <w:sz w:val="19"/>
          <w:szCs w:val="19"/>
        </w:rPr>
        <w:t xml:space="preserve"> wykorzystanych w obiektach noclegowych znalazło się w grupie regionów europejskich wiodących pod względem wielkości obsługiwanego ruchu turystycznego. Liczba turystów zagranicznych korzystających z bazy noclegowej Dolnego Śląska osiągnęła w 2016  roku poziom 593 tysięcy, co stanowiło 9,3% ogółu turystów zagranicznych w kraju (wzrost o 30% od 2010 roku).</w:t>
      </w:r>
    </w:p>
    <w:p w:rsidR="000D1592" w:rsidRPr="00AE35C1" w:rsidRDefault="000D1592" w:rsidP="001E71C6">
      <w:pPr>
        <w:pStyle w:val="MAPA"/>
        <w:ind w:left="567" w:hanging="567"/>
        <w:jc w:val="both"/>
      </w:pPr>
      <w:r w:rsidRPr="00AE35C1">
        <w:t xml:space="preserve">MAPA </w:t>
      </w:r>
      <w:r w:rsidR="006517C0" w:rsidRPr="00AE35C1">
        <w:t>1</w:t>
      </w:r>
      <w:r w:rsidR="004964B3">
        <w:t>9</w:t>
      </w:r>
      <w:r w:rsidRPr="00AE35C1">
        <w:t>.</w:t>
      </w:r>
      <w:r w:rsidR="0093735C" w:rsidRPr="00AE35C1">
        <w:t xml:space="preserve"> </w:t>
      </w:r>
      <w:r w:rsidRPr="00AE35C1">
        <w:t>Liczba NocLEGÓW wykorzystanych w turystycznych obiektach noclegowych w regionach nuts2 w europie [2015].</w:t>
      </w:r>
    </w:p>
    <w:p w:rsidR="00AF09B9" w:rsidRPr="00AE35C1" w:rsidRDefault="002576FC" w:rsidP="001A0A84">
      <w:pPr>
        <w:spacing w:before="120" w:after="0" w:line="288" w:lineRule="auto"/>
        <w:jc w:val="both"/>
        <w:rPr>
          <w:rFonts w:cs="Arial"/>
          <w:noProof/>
          <w:color w:val="404040"/>
          <w:sz w:val="19"/>
          <w:szCs w:val="19"/>
          <w:lang w:eastAsia="pl-PL"/>
        </w:rPr>
      </w:pPr>
      <w:r w:rsidRPr="002576FC">
        <w:rPr>
          <w:rFonts w:cs="Arial"/>
          <w:noProof/>
          <w:color w:val="404040"/>
          <w:sz w:val="19"/>
          <w:szCs w:val="19"/>
          <w:lang w:eastAsia="pl-PL"/>
        </w:rPr>
        <w:drawing>
          <wp:inline distT="0" distB="0" distL="0" distR="0">
            <wp:extent cx="2780665" cy="3516412"/>
            <wp:effectExtent l="0" t="0" r="635" b="8255"/>
            <wp:docPr id="89" name="Obraz 89" descr="P:\ PROJEKTY 2017\09 SRWD 2030\04_Grafika\jpg\UE\Mapa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 PROJEKTY 2017\09 SRWD 2030\04_Grafika\jpg\UE\Mapa 17.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665" cy="3516412"/>
                    </a:xfrm>
                    <a:prstGeom prst="rect">
                      <a:avLst/>
                    </a:prstGeom>
                    <a:noFill/>
                    <a:ln>
                      <a:noFill/>
                    </a:ln>
                  </pic:spPr>
                </pic:pic>
              </a:graphicData>
            </a:graphic>
          </wp:inline>
        </w:drawing>
      </w:r>
    </w:p>
    <w:p w:rsidR="000D1592" w:rsidRDefault="00DF7C1C" w:rsidP="003557AE">
      <w:pPr>
        <w:pStyle w:val="RDO"/>
        <w:spacing w:after="0" w:line="288" w:lineRule="auto"/>
        <w:rPr>
          <w:color w:val="000000"/>
        </w:rPr>
      </w:pPr>
      <w:r w:rsidRPr="00D113CA">
        <w:rPr>
          <w:color w:val="000000"/>
        </w:rPr>
        <w:t xml:space="preserve">Źródło: </w:t>
      </w:r>
      <w:proofErr w:type="spellStart"/>
      <w:r w:rsidRPr="00D113CA">
        <w:rPr>
          <w:color w:val="000000"/>
        </w:rPr>
        <w:t>Eurostat</w:t>
      </w:r>
      <w:proofErr w:type="spellEnd"/>
      <w:r w:rsidRPr="00D113CA">
        <w:rPr>
          <w:color w:val="000000"/>
        </w:rPr>
        <w:t xml:space="preserve"> </w:t>
      </w:r>
      <w:proofErr w:type="spellStart"/>
      <w:r w:rsidRPr="00D113CA">
        <w:rPr>
          <w:color w:val="000000"/>
        </w:rPr>
        <w:t>regional</w:t>
      </w:r>
      <w:proofErr w:type="spellEnd"/>
      <w:r w:rsidRPr="00D113CA">
        <w:rPr>
          <w:color w:val="000000"/>
        </w:rPr>
        <w:t xml:space="preserve"> </w:t>
      </w:r>
      <w:proofErr w:type="spellStart"/>
      <w:r w:rsidRPr="00D113CA">
        <w:rPr>
          <w:color w:val="000000"/>
        </w:rPr>
        <w:t>yearbook</w:t>
      </w:r>
      <w:proofErr w:type="spellEnd"/>
      <w:r w:rsidRPr="00D113CA">
        <w:rPr>
          <w:color w:val="000000"/>
        </w:rPr>
        <w:t>, 2017.</w:t>
      </w:r>
    </w:p>
    <w:p w:rsidR="00C540F1" w:rsidRDefault="00C540F1" w:rsidP="003557AE">
      <w:pPr>
        <w:pStyle w:val="RDO"/>
        <w:spacing w:after="0" w:line="288" w:lineRule="auto"/>
        <w:rPr>
          <w:i w:val="0"/>
          <w:color w:val="000000"/>
          <w:sz w:val="19"/>
          <w:szCs w:val="19"/>
        </w:rPr>
        <w:sectPr w:rsidR="00C540F1" w:rsidSect="00E73C96">
          <w:type w:val="continuous"/>
          <w:pgSz w:w="11906" w:h="16838"/>
          <w:pgMar w:top="1276" w:right="1276" w:bottom="1276" w:left="1417" w:header="708" w:footer="708" w:gutter="0"/>
          <w:cols w:num="2" w:space="454"/>
          <w:docGrid w:linePitch="360"/>
        </w:sectPr>
      </w:pPr>
    </w:p>
    <w:tbl>
      <w:tblPr>
        <w:tblW w:w="0" w:type="auto"/>
        <w:jc w:val="center"/>
        <w:tblBorders>
          <w:insideH w:val="single" w:sz="18" w:space="0" w:color="FFFFFF"/>
          <w:insideV w:val="single" w:sz="18" w:space="0" w:color="FFFFFF"/>
        </w:tblBorders>
        <w:shd w:val="clear" w:color="auto" w:fill="F2F2F2"/>
        <w:tblLook w:val="04A0"/>
      </w:tblPr>
      <w:tblGrid>
        <w:gridCol w:w="4537"/>
        <w:gridCol w:w="4667"/>
      </w:tblGrid>
      <w:tr w:rsidR="001F50CE" w:rsidRPr="00AE35C1" w:rsidTr="00191A1B">
        <w:trPr>
          <w:tblHeader/>
          <w:jc w:val="center"/>
        </w:trPr>
        <w:tc>
          <w:tcPr>
            <w:tcW w:w="4537" w:type="dxa"/>
            <w:shd w:val="clear" w:color="auto" w:fill="F2F2F2"/>
          </w:tcPr>
          <w:p w:rsidR="001F50CE" w:rsidRPr="00AE35C1" w:rsidRDefault="001F50CE" w:rsidP="00191A1B">
            <w:pPr>
              <w:spacing w:before="60" w:after="0" w:line="288" w:lineRule="auto"/>
              <w:jc w:val="center"/>
              <w:rPr>
                <w:b/>
                <w:caps/>
                <w:color w:val="000000"/>
                <w:sz w:val="18"/>
                <w:szCs w:val="18"/>
              </w:rPr>
            </w:pPr>
            <w:r w:rsidRPr="00AE35C1">
              <w:rPr>
                <w:rFonts w:eastAsia="Times New Roman" w:cs="Arial"/>
                <w:b/>
                <w:caps/>
                <w:color w:val="000000"/>
                <w:sz w:val="18"/>
                <w:szCs w:val="18"/>
              </w:rPr>
              <w:lastRenderedPageBreak/>
              <w:t>Mocne strony</w:t>
            </w:r>
          </w:p>
        </w:tc>
        <w:tc>
          <w:tcPr>
            <w:tcW w:w="4667" w:type="dxa"/>
            <w:shd w:val="clear" w:color="auto" w:fill="F2F2F2"/>
          </w:tcPr>
          <w:p w:rsidR="001F50CE" w:rsidRPr="00AE35C1" w:rsidRDefault="001F50CE" w:rsidP="00191A1B">
            <w:pPr>
              <w:spacing w:before="60" w:after="0" w:line="288" w:lineRule="auto"/>
              <w:jc w:val="center"/>
              <w:rPr>
                <w:b/>
                <w:caps/>
                <w:color w:val="000000"/>
                <w:sz w:val="18"/>
                <w:szCs w:val="18"/>
              </w:rPr>
            </w:pPr>
            <w:r w:rsidRPr="00AE35C1">
              <w:rPr>
                <w:rFonts w:eastAsia="Times New Roman" w:cs="Arial"/>
                <w:b/>
                <w:caps/>
                <w:color w:val="000000"/>
                <w:sz w:val="18"/>
                <w:szCs w:val="18"/>
              </w:rPr>
              <w:t>Słabe strony</w:t>
            </w:r>
          </w:p>
        </w:tc>
      </w:tr>
      <w:tr w:rsidR="001F50CE" w:rsidRPr="00AE35C1" w:rsidTr="00191A1B">
        <w:trPr>
          <w:jc w:val="center"/>
        </w:trPr>
        <w:tc>
          <w:tcPr>
            <w:tcW w:w="4537" w:type="dxa"/>
            <w:shd w:val="clear" w:color="auto" w:fill="F2F2F2"/>
          </w:tcPr>
          <w:p w:rsidR="001F50CE" w:rsidRPr="00191A1B" w:rsidRDefault="001F50CE" w:rsidP="00191A1B">
            <w:pPr>
              <w:pStyle w:val="Akapitzlist"/>
              <w:numPr>
                <w:ilvl w:val="0"/>
                <w:numId w:val="31"/>
              </w:numPr>
              <w:spacing w:after="0" w:line="264" w:lineRule="auto"/>
              <w:ind w:left="313" w:hanging="284"/>
              <w:jc w:val="both"/>
              <w:rPr>
                <w:color w:val="000000"/>
                <w:sz w:val="16"/>
                <w:szCs w:val="16"/>
              </w:rPr>
            </w:pPr>
            <w:r w:rsidRPr="00191A1B">
              <w:rPr>
                <w:color w:val="000000"/>
                <w:sz w:val="16"/>
                <w:szCs w:val="16"/>
              </w:rPr>
              <w:t>niższa od przeciętnej dla kraju liczba dzieci w</w:t>
            </w:r>
            <w:r w:rsidR="001D1B69" w:rsidRPr="00191A1B">
              <w:rPr>
                <w:color w:val="000000"/>
                <w:sz w:val="16"/>
                <w:szCs w:val="16"/>
              </w:rPr>
              <w:t> </w:t>
            </w:r>
            <w:r w:rsidRPr="00191A1B">
              <w:rPr>
                <w:color w:val="000000"/>
                <w:sz w:val="16"/>
                <w:szCs w:val="16"/>
              </w:rPr>
              <w:t>wieku 3-5 lat przypadających na jedno miejsce w placówce wychowania przedszkolnego,</w:t>
            </w:r>
          </w:p>
          <w:p w:rsidR="001F50CE" w:rsidRPr="00191A1B" w:rsidRDefault="001F50CE" w:rsidP="00191A1B">
            <w:pPr>
              <w:pStyle w:val="Akapitzlist"/>
              <w:numPr>
                <w:ilvl w:val="0"/>
                <w:numId w:val="33"/>
              </w:numPr>
              <w:spacing w:after="0" w:line="264" w:lineRule="auto"/>
              <w:ind w:left="313" w:hanging="284"/>
              <w:jc w:val="both"/>
              <w:rPr>
                <w:color w:val="000000"/>
                <w:sz w:val="16"/>
                <w:szCs w:val="16"/>
              </w:rPr>
            </w:pPr>
            <w:r w:rsidRPr="00191A1B">
              <w:rPr>
                <w:color w:val="000000"/>
                <w:sz w:val="16"/>
                <w:szCs w:val="16"/>
              </w:rPr>
              <w:t>wzrost liczby studentów studiów trzeciego stopnia,</w:t>
            </w:r>
          </w:p>
          <w:p w:rsidR="001F50CE" w:rsidRPr="00191A1B" w:rsidRDefault="001F50CE" w:rsidP="00191A1B">
            <w:pPr>
              <w:pStyle w:val="Akapitzlist"/>
              <w:numPr>
                <w:ilvl w:val="0"/>
                <w:numId w:val="35"/>
              </w:numPr>
              <w:spacing w:after="0" w:line="264" w:lineRule="auto"/>
              <w:ind w:left="313" w:hanging="284"/>
              <w:jc w:val="both"/>
              <w:rPr>
                <w:color w:val="000000"/>
                <w:sz w:val="16"/>
                <w:szCs w:val="16"/>
              </w:rPr>
            </w:pPr>
            <w:r w:rsidRPr="00191A1B">
              <w:rPr>
                <w:color w:val="000000"/>
                <w:sz w:val="16"/>
                <w:szCs w:val="16"/>
              </w:rPr>
              <w:t>spadek liczby osób przypadających na szpitalny oddział ratunkowy,</w:t>
            </w:r>
          </w:p>
          <w:p w:rsidR="001F50CE" w:rsidRPr="00191A1B" w:rsidRDefault="001F50CE" w:rsidP="00191A1B">
            <w:pPr>
              <w:pStyle w:val="Akapitzlist"/>
              <w:numPr>
                <w:ilvl w:val="0"/>
                <w:numId w:val="36"/>
              </w:numPr>
              <w:spacing w:after="0" w:line="264" w:lineRule="auto"/>
              <w:ind w:left="313" w:hanging="284"/>
              <w:jc w:val="both"/>
              <w:rPr>
                <w:color w:val="000000"/>
                <w:sz w:val="16"/>
                <w:szCs w:val="16"/>
              </w:rPr>
            </w:pPr>
            <w:r w:rsidRPr="00191A1B">
              <w:rPr>
                <w:color w:val="000000"/>
                <w:sz w:val="16"/>
                <w:szCs w:val="16"/>
              </w:rPr>
              <w:t>najwyższy w kraju udział dzieci objętych opieką w żłobkach,</w:t>
            </w:r>
          </w:p>
          <w:p w:rsidR="001F50CE" w:rsidRPr="00191A1B" w:rsidRDefault="001F50CE" w:rsidP="00191A1B">
            <w:pPr>
              <w:pStyle w:val="Akapitzlist"/>
              <w:numPr>
                <w:ilvl w:val="0"/>
                <w:numId w:val="37"/>
              </w:numPr>
              <w:spacing w:after="0" w:line="264" w:lineRule="auto"/>
              <w:ind w:left="313" w:hanging="284"/>
              <w:jc w:val="both"/>
              <w:rPr>
                <w:color w:val="000000"/>
                <w:sz w:val="16"/>
                <w:szCs w:val="16"/>
              </w:rPr>
            </w:pPr>
            <w:r w:rsidRPr="00191A1B">
              <w:rPr>
                <w:color w:val="000000"/>
                <w:sz w:val="16"/>
                <w:szCs w:val="16"/>
              </w:rPr>
              <w:lastRenderedPageBreak/>
              <w:t>wzrost zaangażowania mieszkańców regionu w działalność artystyczna i kulturalną,</w:t>
            </w:r>
          </w:p>
          <w:p w:rsidR="001F50CE" w:rsidRPr="00191A1B" w:rsidRDefault="001F50CE" w:rsidP="00191A1B">
            <w:pPr>
              <w:pStyle w:val="Akapitzlist"/>
              <w:numPr>
                <w:ilvl w:val="0"/>
                <w:numId w:val="37"/>
              </w:numPr>
              <w:spacing w:after="0" w:line="264" w:lineRule="auto"/>
              <w:ind w:left="313" w:hanging="284"/>
              <w:jc w:val="both"/>
              <w:rPr>
                <w:color w:val="000000"/>
                <w:sz w:val="16"/>
                <w:szCs w:val="16"/>
              </w:rPr>
            </w:pPr>
            <w:r w:rsidRPr="00191A1B">
              <w:rPr>
                <w:color w:val="000000"/>
                <w:sz w:val="16"/>
                <w:szCs w:val="16"/>
              </w:rPr>
              <w:t>duży zasób instytucji muzealnych, scenicznych z atrakcyjnymi ekspozycjami,</w:t>
            </w:r>
          </w:p>
          <w:p w:rsidR="001F50CE" w:rsidRPr="00191A1B" w:rsidRDefault="001F50CE" w:rsidP="00191A1B">
            <w:pPr>
              <w:pStyle w:val="Akapitzlist"/>
              <w:numPr>
                <w:ilvl w:val="0"/>
                <w:numId w:val="39"/>
              </w:numPr>
              <w:spacing w:after="0" w:line="264" w:lineRule="auto"/>
              <w:ind w:left="313" w:hanging="284"/>
              <w:jc w:val="both"/>
              <w:rPr>
                <w:color w:val="000000"/>
                <w:sz w:val="16"/>
                <w:szCs w:val="16"/>
              </w:rPr>
            </w:pPr>
            <w:r w:rsidRPr="00191A1B">
              <w:rPr>
                <w:color w:val="000000"/>
                <w:sz w:val="16"/>
                <w:szCs w:val="16"/>
              </w:rPr>
              <w:t>wzrastająca liczba klubów sportowych oraz osób z</w:t>
            </w:r>
            <w:r w:rsidR="001D1B69" w:rsidRPr="00191A1B">
              <w:rPr>
                <w:color w:val="000000"/>
                <w:sz w:val="16"/>
                <w:szCs w:val="16"/>
              </w:rPr>
              <w:t> </w:t>
            </w:r>
            <w:r w:rsidRPr="00191A1B">
              <w:rPr>
                <w:color w:val="000000"/>
                <w:sz w:val="16"/>
                <w:szCs w:val="16"/>
              </w:rPr>
              <w:t>nich korzystających,</w:t>
            </w:r>
          </w:p>
          <w:p w:rsidR="008636EC" w:rsidRPr="00191A1B" w:rsidRDefault="008636EC" w:rsidP="00191A1B">
            <w:pPr>
              <w:pStyle w:val="Akapitzlist"/>
              <w:numPr>
                <w:ilvl w:val="0"/>
                <w:numId w:val="39"/>
              </w:numPr>
              <w:spacing w:after="0" w:line="264" w:lineRule="auto"/>
              <w:ind w:left="313" w:hanging="284"/>
              <w:jc w:val="both"/>
              <w:rPr>
                <w:color w:val="000000"/>
                <w:sz w:val="16"/>
                <w:szCs w:val="16"/>
              </w:rPr>
            </w:pPr>
            <w:r w:rsidRPr="00191A1B">
              <w:rPr>
                <w:color w:val="000000"/>
                <w:sz w:val="16"/>
                <w:szCs w:val="16"/>
              </w:rPr>
              <w:t>spadek licz</w:t>
            </w:r>
            <w:r w:rsidR="002A0928" w:rsidRPr="00191A1B">
              <w:rPr>
                <w:color w:val="000000"/>
                <w:sz w:val="16"/>
                <w:szCs w:val="16"/>
              </w:rPr>
              <w:t>by osób zagrożonych ubóstwem wg </w:t>
            </w:r>
            <w:r w:rsidRPr="00191A1B">
              <w:rPr>
                <w:color w:val="000000"/>
                <w:sz w:val="16"/>
                <w:szCs w:val="16"/>
              </w:rPr>
              <w:t>relatywnej granicy ubóstwa</w:t>
            </w:r>
            <w:r w:rsidR="00140858" w:rsidRPr="00191A1B">
              <w:rPr>
                <w:color w:val="000000"/>
                <w:sz w:val="16"/>
                <w:szCs w:val="16"/>
              </w:rPr>
              <w:t>,</w:t>
            </w:r>
          </w:p>
          <w:p w:rsidR="001F50CE" w:rsidRPr="00191A1B" w:rsidRDefault="001F50CE" w:rsidP="00191A1B">
            <w:pPr>
              <w:pStyle w:val="Akapitzlist"/>
              <w:numPr>
                <w:ilvl w:val="0"/>
                <w:numId w:val="39"/>
              </w:numPr>
              <w:spacing w:after="0" w:line="264" w:lineRule="auto"/>
              <w:ind w:left="313" w:hanging="284"/>
              <w:jc w:val="both"/>
              <w:rPr>
                <w:color w:val="000000"/>
                <w:sz w:val="16"/>
                <w:szCs w:val="16"/>
              </w:rPr>
            </w:pPr>
            <w:r w:rsidRPr="00191A1B">
              <w:rPr>
                <w:color w:val="000000"/>
                <w:sz w:val="16"/>
                <w:szCs w:val="16"/>
              </w:rPr>
              <w:t>wysoka atrakcyjność turystyczna regionu oraz duży potencjał rozwojowy turystyki, oparte o silną całoroczną bazę uzdrowiskową i wypoczynkową oraz dużą różnorodność profili leczniczych dolnośląskich uzdrowisk.</w:t>
            </w:r>
          </w:p>
        </w:tc>
        <w:tc>
          <w:tcPr>
            <w:tcW w:w="4667" w:type="dxa"/>
            <w:shd w:val="clear" w:color="auto" w:fill="F2F2F2"/>
          </w:tcPr>
          <w:p w:rsidR="001F50CE" w:rsidRPr="00191A1B" w:rsidRDefault="001F50CE" w:rsidP="00191A1B">
            <w:pPr>
              <w:pStyle w:val="Akapitzlist"/>
              <w:numPr>
                <w:ilvl w:val="0"/>
                <w:numId w:val="32"/>
              </w:numPr>
              <w:spacing w:after="0" w:line="264" w:lineRule="auto"/>
              <w:ind w:left="313" w:hanging="284"/>
              <w:jc w:val="both"/>
              <w:rPr>
                <w:color w:val="000000"/>
                <w:sz w:val="16"/>
                <w:szCs w:val="16"/>
              </w:rPr>
            </w:pPr>
            <w:r w:rsidRPr="00191A1B">
              <w:rPr>
                <w:color w:val="000000"/>
                <w:sz w:val="16"/>
                <w:szCs w:val="16"/>
              </w:rPr>
              <w:lastRenderedPageBreak/>
              <w:t xml:space="preserve">spadek liczby </w:t>
            </w:r>
            <w:r w:rsidR="006C024B" w:rsidRPr="00191A1B">
              <w:rPr>
                <w:color w:val="000000"/>
                <w:sz w:val="16"/>
                <w:szCs w:val="16"/>
              </w:rPr>
              <w:t xml:space="preserve">studentów i </w:t>
            </w:r>
            <w:r w:rsidRPr="00191A1B">
              <w:rPr>
                <w:color w:val="000000"/>
                <w:sz w:val="16"/>
                <w:szCs w:val="16"/>
              </w:rPr>
              <w:t>absolwentów,</w:t>
            </w:r>
          </w:p>
          <w:p w:rsidR="001F50CE" w:rsidRPr="00191A1B" w:rsidRDefault="001F50CE" w:rsidP="00191A1B">
            <w:pPr>
              <w:pStyle w:val="Akapitzlist"/>
              <w:numPr>
                <w:ilvl w:val="0"/>
                <w:numId w:val="32"/>
              </w:numPr>
              <w:spacing w:after="0" w:line="264" w:lineRule="auto"/>
              <w:ind w:left="313" w:hanging="284"/>
              <w:jc w:val="both"/>
              <w:rPr>
                <w:color w:val="000000"/>
                <w:sz w:val="16"/>
                <w:szCs w:val="16"/>
              </w:rPr>
            </w:pPr>
            <w:r w:rsidRPr="00191A1B">
              <w:rPr>
                <w:color w:val="000000"/>
                <w:sz w:val="16"/>
                <w:szCs w:val="16"/>
              </w:rPr>
              <w:t xml:space="preserve">niższa niż </w:t>
            </w:r>
            <w:r w:rsidR="00140858" w:rsidRPr="00191A1B">
              <w:rPr>
                <w:color w:val="000000"/>
                <w:sz w:val="16"/>
                <w:szCs w:val="16"/>
              </w:rPr>
              <w:t>średni</w:t>
            </w:r>
            <w:r w:rsidR="00BB75CB" w:rsidRPr="00191A1B">
              <w:rPr>
                <w:color w:val="000000"/>
                <w:sz w:val="16"/>
                <w:szCs w:val="16"/>
              </w:rPr>
              <w:t>a</w:t>
            </w:r>
            <w:r w:rsidR="00140858" w:rsidRPr="00191A1B">
              <w:rPr>
                <w:color w:val="000000"/>
                <w:sz w:val="16"/>
                <w:szCs w:val="16"/>
              </w:rPr>
              <w:t xml:space="preserve"> w </w:t>
            </w:r>
            <w:r w:rsidRPr="00191A1B">
              <w:rPr>
                <w:color w:val="000000"/>
                <w:sz w:val="16"/>
                <w:szCs w:val="16"/>
              </w:rPr>
              <w:t>kraju zdawalność egzaminu maturalnego,</w:t>
            </w:r>
          </w:p>
          <w:p w:rsidR="001F50CE" w:rsidRPr="00191A1B" w:rsidRDefault="001F50CE" w:rsidP="00191A1B">
            <w:pPr>
              <w:pStyle w:val="Akapitzlist"/>
              <w:numPr>
                <w:ilvl w:val="0"/>
                <w:numId w:val="34"/>
              </w:numPr>
              <w:spacing w:after="0" w:line="264" w:lineRule="auto"/>
              <w:ind w:left="313" w:hanging="284"/>
              <w:jc w:val="both"/>
              <w:rPr>
                <w:color w:val="000000"/>
                <w:sz w:val="16"/>
                <w:szCs w:val="16"/>
              </w:rPr>
            </w:pPr>
            <w:r w:rsidRPr="00191A1B">
              <w:rPr>
                <w:color w:val="000000"/>
                <w:sz w:val="16"/>
                <w:szCs w:val="16"/>
              </w:rPr>
              <w:t xml:space="preserve">spadek wartości współczynnika </w:t>
            </w:r>
            <w:proofErr w:type="spellStart"/>
            <w:r w:rsidRPr="00191A1B">
              <w:rPr>
                <w:color w:val="000000"/>
                <w:sz w:val="16"/>
                <w:szCs w:val="16"/>
              </w:rPr>
              <w:t>skolaryzacji</w:t>
            </w:r>
            <w:proofErr w:type="spellEnd"/>
            <w:r w:rsidRPr="00191A1B">
              <w:rPr>
                <w:color w:val="000000"/>
                <w:sz w:val="16"/>
                <w:szCs w:val="16"/>
              </w:rPr>
              <w:t xml:space="preserve"> netto,</w:t>
            </w:r>
          </w:p>
          <w:p w:rsidR="001F50CE" w:rsidRPr="00191A1B" w:rsidRDefault="001F50CE" w:rsidP="00191A1B">
            <w:pPr>
              <w:pStyle w:val="Akapitzlist"/>
              <w:numPr>
                <w:ilvl w:val="0"/>
                <w:numId w:val="34"/>
              </w:numPr>
              <w:spacing w:after="0" w:line="264" w:lineRule="auto"/>
              <w:ind w:left="313" w:hanging="284"/>
              <w:jc w:val="both"/>
              <w:rPr>
                <w:color w:val="000000"/>
                <w:sz w:val="16"/>
                <w:szCs w:val="16"/>
              </w:rPr>
            </w:pPr>
            <w:r w:rsidRPr="00191A1B">
              <w:rPr>
                <w:color w:val="000000"/>
                <w:sz w:val="16"/>
                <w:szCs w:val="16"/>
              </w:rPr>
              <w:t>spadek liczby słuchaczy studiów podyplomowych,</w:t>
            </w:r>
          </w:p>
          <w:p w:rsidR="00943D00" w:rsidRPr="00191A1B" w:rsidRDefault="00943D00" w:rsidP="00191A1B">
            <w:pPr>
              <w:pStyle w:val="Akapitzlist"/>
              <w:numPr>
                <w:ilvl w:val="0"/>
                <w:numId w:val="34"/>
              </w:numPr>
              <w:spacing w:after="0" w:line="264" w:lineRule="auto"/>
              <w:ind w:left="313" w:hanging="284"/>
              <w:jc w:val="both"/>
              <w:rPr>
                <w:color w:val="000000"/>
                <w:sz w:val="16"/>
                <w:szCs w:val="16"/>
              </w:rPr>
            </w:pPr>
            <w:r w:rsidRPr="00191A1B">
              <w:rPr>
                <w:color w:val="000000"/>
                <w:sz w:val="16"/>
                <w:szCs w:val="16"/>
              </w:rPr>
              <w:t>ekonomiczne bariery dostępu do edukacji (</w:t>
            </w:r>
            <w:r w:rsidR="0096485C" w:rsidRPr="00191A1B">
              <w:rPr>
                <w:color w:val="000000"/>
                <w:sz w:val="16"/>
                <w:szCs w:val="16"/>
              </w:rPr>
              <w:t xml:space="preserve">szczególnie </w:t>
            </w:r>
            <w:r w:rsidR="007E7CC7" w:rsidRPr="00191A1B">
              <w:rPr>
                <w:color w:val="000000"/>
                <w:sz w:val="16"/>
                <w:szCs w:val="16"/>
              </w:rPr>
              <w:t xml:space="preserve">na terenach </w:t>
            </w:r>
            <w:r w:rsidR="0096485C" w:rsidRPr="00191A1B">
              <w:rPr>
                <w:color w:val="000000"/>
                <w:sz w:val="16"/>
                <w:szCs w:val="16"/>
              </w:rPr>
              <w:t>wiejskich i małych miast</w:t>
            </w:r>
            <w:r w:rsidR="007E7CC7" w:rsidRPr="00191A1B">
              <w:rPr>
                <w:color w:val="000000"/>
                <w:sz w:val="16"/>
                <w:szCs w:val="16"/>
              </w:rPr>
              <w:t>ach</w:t>
            </w:r>
            <w:r w:rsidR="0096485C" w:rsidRPr="00191A1B">
              <w:rPr>
                <w:color w:val="000000"/>
                <w:sz w:val="16"/>
                <w:szCs w:val="16"/>
              </w:rPr>
              <w:t xml:space="preserve"> oddalonych od ośrodków edukacyjnych szkolnictwa średniego lub wyższego),</w:t>
            </w:r>
          </w:p>
          <w:p w:rsidR="001F50CE" w:rsidRPr="00191A1B" w:rsidRDefault="001F50CE" w:rsidP="00191A1B">
            <w:pPr>
              <w:pStyle w:val="Akapitzlist"/>
              <w:numPr>
                <w:ilvl w:val="0"/>
                <w:numId w:val="34"/>
              </w:numPr>
              <w:spacing w:after="0" w:line="264" w:lineRule="auto"/>
              <w:ind w:left="313" w:hanging="284"/>
              <w:jc w:val="both"/>
              <w:rPr>
                <w:color w:val="000000"/>
                <w:sz w:val="16"/>
                <w:szCs w:val="16"/>
              </w:rPr>
            </w:pPr>
            <w:r w:rsidRPr="00191A1B">
              <w:rPr>
                <w:color w:val="000000"/>
                <w:sz w:val="16"/>
                <w:szCs w:val="16"/>
              </w:rPr>
              <w:lastRenderedPageBreak/>
              <w:t>nierównomierny dostęp do służby zdrowia w regionie,</w:t>
            </w:r>
          </w:p>
          <w:p w:rsidR="001F50CE" w:rsidRPr="00191A1B" w:rsidRDefault="001F50CE" w:rsidP="00191A1B">
            <w:pPr>
              <w:pStyle w:val="Akapitzlist"/>
              <w:numPr>
                <w:ilvl w:val="0"/>
                <w:numId w:val="34"/>
              </w:numPr>
              <w:spacing w:after="0" w:line="264" w:lineRule="auto"/>
              <w:ind w:left="313" w:hanging="284"/>
              <w:jc w:val="both"/>
              <w:rPr>
                <w:color w:val="000000"/>
                <w:sz w:val="16"/>
                <w:szCs w:val="16"/>
              </w:rPr>
            </w:pPr>
            <w:r w:rsidRPr="00191A1B">
              <w:rPr>
                <w:color w:val="000000"/>
                <w:sz w:val="16"/>
                <w:szCs w:val="16"/>
              </w:rPr>
              <w:t>wzrost udziału zasiłków stałych w ramach pieniężnych świadczeń pomocy społecznej,</w:t>
            </w:r>
          </w:p>
          <w:p w:rsidR="001F50CE" w:rsidRPr="00191A1B" w:rsidRDefault="00140858" w:rsidP="00191A1B">
            <w:pPr>
              <w:pStyle w:val="Akapitzlist"/>
              <w:numPr>
                <w:ilvl w:val="0"/>
                <w:numId w:val="34"/>
              </w:numPr>
              <w:spacing w:after="0" w:line="264" w:lineRule="auto"/>
              <w:ind w:left="313" w:hanging="284"/>
              <w:jc w:val="both"/>
              <w:rPr>
                <w:color w:val="000000"/>
                <w:sz w:val="16"/>
                <w:szCs w:val="16"/>
              </w:rPr>
            </w:pPr>
            <w:r w:rsidRPr="00191A1B">
              <w:rPr>
                <w:color w:val="000000"/>
                <w:sz w:val="16"/>
                <w:szCs w:val="16"/>
              </w:rPr>
              <w:t>obniżające się</w:t>
            </w:r>
            <w:r w:rsidR="001F50CE" w:rsidRPr="00191A1B">
              <w:rPr>
                <w:color w:val="000000"/>
                <w:sz w:val="16"/>
                <w:szCs w:val="16"/>
              </w:rPr>
              <w:t xml:space="preserve"> wartości wskaźników opisujących poziom </w:t>
            </w:r>
            <w:r w:rsidR="00D851E8" w:rsidRPr="00191A1B">
              <w:rPr>
                <w:color w:val="000000"/>
                <w:sz w:val="16"/>
                <w:szCs w:val="16"/>
              </w:rPr>
              <w:t>czytelnictwa</w:t>
            </w:r>
            <w:r w:rsidR="001F50CE" w:rsidRPr="00191A1B">
              <w:rPr>
                <w:color w:val="000000"/>
                <w:sz w:val="16"/>
                <w:szCs w:val="16"/>
              </w:rPr>
              <w:t>,</w:t>
            </w:r>
          </w:p>
          <w:p w:rsidR="001F50CE" w:rsidRPr="00191A1B" w:rsidRDefault="001F50CE" w:rsidP="00191A1B">
            <w:pPr>
              <w:pStyle w:val="Akapitzlist"/>
              <w:numPr>
                <w:ilvl w:val="0"/>
                <w:numId w:val="38"/>
              </w:numPr>
              <w:spacing w:after="0" w:line="264" w:lineRule="auto"/>
              <w:ind w:left="313" w:hanging="284"/>
              <w:jc w:val="both"/>
              <w:rPr>
                <w:color w:val="000000"/>
                <w:sz w:val="16"/>
                <w:szCs w:val="16"/>
              </w:rPr>
            </w:pPr>
            <w:r w:rsidRPr="00191A1B">
              <w:rPr>
                <w:color w:val="000000"/>
                <w:sz w:val="16"/>
                <w:szCs w:val="16"/>
              </w:rPr>
              <w:t>brak domów i ośrodków kultury w</w:t>
            </w:r>
            <w:r w:rsidR="007E7CC7" w:rsidRPr="00191A1B">
              <w:rPr>
                <w:color w:val="000000"/>
                <w:sz w:val="16"/>
                <w:szCs w:val="16"/>
              </w:rPr>
              <w:t xml:space="preserve"> niektórych </w:t>
            </w:r>
            <w:r w:rsidRPr="00191A1B">
              <w:rPr>
                <w:color w:val="000000"/>
                <w:sz w:val="16"/>
                <w:szCs w:val="16"/>
              </w:rPr>
              <w:t xml:space="preserve"> gminach regionu,</w:t>
            </w:r>
          </w:p>
          <w:p w:rsidR="001F50CE" w:rsidRPr="00191A1B" w:rsidRDefault="001F50CE" w:rsidP="00191A1B">
            <w:pPr>
              <w:pStyle w:val="Akapitzlist"/>
              <w:numPr>
                <w:ilvl w:val="0"/>
                <w:numId w:val="38"/>
              </w:numPr>
              <w:spacing w:after="0" w:line="264" w:lineRule="auto"/>
              <w:ind w:left="313" w:hanging="284"/>
              <w:jc w:val="both"/>
              <w:rPr>
                <w:color w:val="000000"/>
                <w:sz w:val="16"/>
                <w:szCs w:val="16"/>
              </w:rPr>
            </w:pPr>
            <w:r w:rsidRPr="00191A1B">
              <w:rPr>
                <w:color w:val="000000"/>
                <w:sz w:val="16"/>
                <w:szCs w:val="16"/>
              </w:rPr>
              <w:t xml:space="preserve">brak wystarczającej oferty zatrudnienia dla osób </w:t>
            </w:r>
            <w:r w:rsidR="002A0928" w:rsidRPr="00191A1B">
              <w:rPr>
                <w:color w:val="000000"/>
                <w:sz w:val="16"/>
                <w:szCs w:val="16"/>
              </w:rPr>
              <w:t>z </w:t>
            </w:r>
            <w:r w:rsidR="00EB0786" w:rsidRPr="00191A1B">
              <w:rPr>
                <w:color w:val="000000"/>
                <w:sz w:val="16"/>
                <w:szCs w:val="16"/>
              </w:rPr>
              <w:t>niepełnosprawnościami</w:t>
            </w:r>
            <w:r w:rsidRPr="00191A1B">
              <w:rPr>
                <w:color w:val="000000"/>
                <w:sz w:val="16"/>
                <w:szCs w:val="16"/>
              </w:rPr>
              <w:t>,</w:t>
            </w:r>
          </w:p>
          <w:p w:rsidR="001F50CE" w:rsidRPr="00191A1B" w:rsidRDefault="001F50CE" w:rsidP="00191A1B">
            <w:pPr>
              <w:pStyle w:val="Akapitzlist"/>
              <w:numPr>
                <w:ilvl w:val="0"/>
                <w:numId w:val="38"/>
              </w:numPr>
              <w:spacing w:after="0" w:line="264" w:lineRule="auto"/>
              <w:ind w:left="313" w:hanging="284"/>
              <w:jc w:val="both"/>
              <w:rPr>
                <w:color w:val="000000"/>
                <w:sz w:val="16"/>
                <w:szCs w:val="16"/>
              </w:rPr>
            </w:pPr>
            <w:r w:rsidRPr="00191A1B">
              <w:rPr>
                <w:color w:val="000000"/>
                <w:sz w:val="16"/>
                <w:szCs w:val="16"/>
              </w:rPr>
              <w:t>nierównomierne zasoby bazy noclegowej w atrakcyjnych turystyc</w:t>
            </w:r>
            <w:r w:rsidR="002A0928" w:rsidRPr="00191A1B">
              <w:rPr>
                <w:color w:val="000000"/>
                <w:sz w:val="16"/>
                <w:szCs w:val="16"/>
              </w:rPr>
              <w:t>znie obszarach województwa oraz </w:t>
            </w:r>
            <w:r w:rsidRPr="00191A1B">
              <w:rPr>
                <w:color w:val="000000"/>
                <w:sz w:val="16"/>
                <w:szCs w:val="16"/>
              </w:rPr>
              <w:t xml:space="preserve">niedoinwestowanie urządzeń infrastruktury turystycznej na obszarach wypoczynkowych, w tym </w:t>
            </w:r>
            <w:r w:rsidR="006C024B" w:rsidRPr="00191A1B">
              <w:rPr>
                <w:color w:val="000000"/>
                <w:sz w:val="16"/>
                <w:szCs w:val="16"/>
              </w:rPr>
              <w:t xml:space="preserve">mała liczba skomercjalizowanych </w:t>
            </w:r>
            <w:r w:rsidRPr="00191A1B">
              <w:rPr>
                <w:color w:val="000000"/>
                <w:sz w:val="16"/>
                <w:szCs w:val="16"/>
              </w:rPr>
              <w:t>produktów turystycznych.</w:t>
            </w:r>
          </w:p>
        </w:tc>
      </w:tr>
    </w:tbl>
    <w:p w:rsidR="00B11E91" w:rsidRPr="00AE35C1" w:rsidRDefault="00B11E91" w:rsidP="00AB6BCA">
      <w:pPr>
        <w:pStyle w:val="TEKST"/>
        <w:spacing w:after="0"/>
        <w:rPr>
          <w:sz w:val="19"/>
          <w:szCs w:val="19"/>
        </w:rPr>
      </w:pPr>
    </w:p>
    <w:p w:rsidR="00AB6BCA" w:rsidRPr="00AE35C1" w:rsidRDefault="00AB6BCA" w:rsidP="00AB6BCA">
      <w:pPr>
        <w:spacing w:after="0"/>
        <w:rPr>
          <w:sz w:val="2"/>
          <w:szCs w:val="2"/>
        </w:rPr>
      </w:pPr>
      <w:bookmarkStart w:id="32" w:name="_Toc499582766"/>
    </w:p>
    <w:p w:rsidR="001A0A84" w:rsidRPr="00AE35C1" w:rsidRDefault="001A0A84" w:rsidP="00AB6BCA">
      <w:pPr>
        <w:spacing w:after="0"/>
        <w:rPr>
          <w:sz w:val="2"/>
          <w:szCs w:val="2"/>
        </w:rPr>
      </w:pPr>
    </w:p>
    <w:p w:rsidR="000C6BE4" w:rsidRPr="00AE35C1" w:rsidRDefault="000C6BE4" w:rsidP="00770CED">
      <w:pPr>
        <w:pStyle w:val="Nagwek2"/>
        <w:numPr>
          <w:ilvl w:val="1"/>
          <w:numId w:val="59"/>
        </w:numPr>
        <w:ind w:left="426" w:hanging="426"/>
      </w:pPr>
      <w:bookmarkStart w:id="33" w:name="_Toc511716311"/>
      <w:r w:rsidRPr="00AE35C1">
        <w:t>SFERA GOSPODARCZA</w:t>
      </w:r>
      <w:bookmarkEnd w:id="32"/>
      <w:bookmarkEnd w:id="33"/>
    </w:p>
    <w:p w:rsidR="000C6BE4" w:rsidRPr="00AE35C1" w:rsidRDefault="000C6BE4" w:rsidP="00D41A4A">
      <w:pPr>
        <w:pStyle w:val="Nagwek2"/>
        <w:sectPr w:rsidR="000C6BE4" w:rsidRPr="00AE35C1" w:rsidSect="00E73C96">
          <w:headerReference w:type="first" r:id="rId51"/>
          <w:footerReference w:type="first" r:id="rId52"/>
          <w:type w:val="continuous"/>
          <w:pgSz w:w="11906" w:h="16838"/>
          <w:pgMar w:top="1571" w:right="1276" w:bottom="1134" w:left="1418" w:header="709" w:footer="567" w:gutter="0"/>
          <w:cols w:space="708"/>
          <w:titlePg/>
          <w:docGrid w:linePitch="360"/>
        </w:sectPr>
      </w:pPr>
    </w:p>
    <w:p w:rsidR="000C6BE4" w:rsidRPr="00AE35C1" w:rsidRDefault="001251C7" w:rsidP="00814A82">
      <w:pPr>
        <w:pStyle w:val="Nagwek3"/>
      </w:pPr>
      <w:bookmarkStart w:id="34" w:name="_Toc511716312"/>
      <w:r w:rsidRPr="00AE35C1">
        <w:lastRenderedPageBreak/>
        <w:t>PRODUKT KRAJOWY BRUTTO</w:t>
      </w:r>
      <w:bookmarkEnd w:id="34"/>
    </w:p>
    <w:p w:rsidR="00814A82" w:rsidRPr="00AE35C1" w:rsidRDefault="000C6BE4" w:rsidP="00814A82">
      <w:pPr>
        <w:spacing w:before="120" w:after="120" w:line="288" w:lineRule="auto"/>
        <w:jc w:val="both"/>
        <w:rPr>
          <w:rFonts w:eastAsia="Times New Roman" w:cs="Arial"/>
          <w:color w:val="000000"/>
          <w:sz w:val="19"/>
          <w:szCs w:val="19"/>
        </w:rPr>
      </w:pPr>
      <w:r w:rsidRPr="00AE35C1">
        <w:rPr>
          <w:rFonts w:eastAsia="Times New Roman" w:cs="Arial"/>
          <w:color w:val="000000"/>
          <w:sz w:val="19"/>
          <w:szCs w:val="19"/>
        </w:rPr>
        <w:t xml:space="preserve">W województwie dolnośląskim w 2015 roku </w:t>
      </w:r>
      <w:r w:rsidRPr="00AE35C1">
        <w:rPr>
          <w:rFonts w:eastAsia="Times New Roman" w:cs="Arial"/>
          <w:b/>
          <w:color w:val="000000"/>
          <w:sz w:val="19"/>
          <w:szCs w:val="19"/>
        </w:rPr>
        <w:t>produkt krajowy brutto</w:t>
      </w:r>
      <w:r w:rsidRPr="00AE35C1">
        <w:rPr>
          <w:rFonts w:eastAsia="Times New Roman" w:cs="Arial"/>
          <w:color w:val="000000"/>
          <w:sz w:val="19"/>
          <w:szCs w:val="19"/>
        </w:rPr>
        <w:t xml:space="preserve"> (PKB) wynosił 151 668 mln</w:t>
      </w:r>
      <w:r w:rsidR="00486601" w:rsidRPr="00AE35C1">
        <w:rPr>
          <w:rFonts w:eastAsia="Times New Roman" w:cs="Arial"/>
          <w:color w:val="000000"/>
          <w:sz w:val="19"/>
          <w:szCs w:val="19"/>
        </w:rPr>
        <w:t> </w:t>
      </w:r>
      <w:r w:rsidRPr="00AE35C1">
        <w:rPr>
          <w:rFonts w:eastAsia="Times New Roman" w:cs="Arial"/>
          <w:color w:val="000000"/>
          <w:sz w:val="19"/>
          <w:szCs w:val="19"/>
        </w:rPr>
        <w:t>zł, co stanowiło 8</w:t>
      </w:r>
      <w:r w:rsidR="00486601" w:rsidRPr="00AE35C1">
        <w:rPr>
          <w:rFonts w:eastAsia="Times New Roman" w:cs="Arial"/>
          <w:color w:val="000000"/>
          <w:sz w:val="19"/>
          <w:szCs w:val="19"/>
        </w:rPr>
        <w:t>,4% wartości dla całego kraju i </w:t>
      </w:r>
      <w:r w:rsidRPr="00AE35C1">
        <w:rPr>
          <w:rFonts w:eastAsia="Times New Roman" w:cs="Arial"/>
          <w:color w:val="000000"/>
          <w:sz w:val="19"/>
          <w:szCs w:val="19"/>
        </w:rPr>
        <w:t>dawało 4.</w:t>
      </w:r>
      <w:r w:rsidR="00AE34F7" w:rsidRPr="00AE35C1">
        <w:rPr>
          <w:rFonts w:eastAsia="Times New Roman" w:cs="Arial"/>
          <w:color w:val="000000"/>
          <w:sz w:val="19"/>
          <w:szCs w:val="19"/>
        </w:rPr>
        <w:t> miejsce wśród polskich województw</w:t>
      </w:r>
      <w:r w:rsidR="0025610F" w:rsidRPr="00AE35C1">
        <w:rPr>
          <w:rFonts w:eastAsia="Times New Roman" w:cs="Arial"/>
          <w:color w:val="000000"/>
          <w:sz w:val="19"/>
          <w:szCs w:val="19"/>
        </w:rPr>
        <w:t xml:space="preserve">. W </w:t>
      </w:r>
      <w:r w:rsidRPr="00AE35C1">
        <w:rPr>
          <w:rFonts w:eastAsia="Times New Roman" w:cs="Arial"/>
          <w:color w:val="000000"/>
          <w:sz w:val="19"/>
          <w:szCs w:val="19"/>
        </w:rPr>
        <w:t xml:space="preserve">porównaniu do 2010 roku wartość PKB ogółem wzrosła o 23%. Trend ten był charakterystyczny również dla Polski (wzrost o 24,5%), co w konsekwencji nie przyniosło regionowi wzrostu udziału w tworzeniu PKB w kraju. Natomiast wskaźnik </w:t>
      </w:r>
      <w:r w:rsidRPr="00AE35C1">
        <w:rPr>
          <w:rFonts w:eastAsia="Times New Roman" w:cs="Arial"/>
          <w:b/>
          <w:color w:val="000000"/>
          <w:sz w:val="19"/>
          <w:szCs w:val="19"/>
        </w:rPr>
        <w:t>PKB per capita</w:t>
      </w:r>
      <w:r w:rsidRPr="00AE35C1">
        <w:rPr>
          <w:rFonts w:eastAsia="Times New Roman" w:cs="Arial"/>
          <w:color w:val="000000"/>
          <w:sz w:val="19"/>
          <w:szCs w:val="19"/>
        </w:rPr>
        <w:t xml:space="preserve"> w regionie był wyższy od średniej krajowej zarów</w:t>
      </w:r>
      <w:r w:rsidR="002A0928" w:rsidRPr="00AE35C1">
        <w:rPr>
          <w:rFonts w:eastAsia="Times New Roman" w:cs="Arial"/>
          <w:color w:val="000000"/>
          <w:sz w:val="19"/>
          <w:szCs w:val="19"/>
        </w:rPr>
        <w:t>no w 2010 roku, jak </w:t>
      </w:r>
      <w:r w:rsidRPr="00AE35C1">
        <w:rPr>
          <w:rFonts w:eastAsia="Times New Roman" w:cs="Arial"/>
          <w:color w:val="000000"/>
          <w:sz w:val="19"/>
          <w:szCs w:val="19"/>
        </w:rPr>
        <w:t xml:space="preserve">i w 2015 roku, wynosząc odpowiednio 112,7% oraz 111,6%. </w:t>
      </w:r>
      <w:r w:rsidR="00814A82" w:rsidRPr="00AE35C1">
        <w:rPr>
          <w:rFonts w:eastAsia="Times New Roman" w:cs="Arial"/>
          <w:color w:val="000000"/>
          <w:sz w:val="19"/>
          <w:szCs w:val="19"/>
        </w:rPr>
        <w:t>W układzie wewną</w:t>
      </w:r>
      <w:r w:rsidR="0025610F" w:rsidRPr="00AE35C1">
        <w:rPr>
          <w:rFonts w:eastAsia="Times New Roman" w:cs="Arial"/>
          <w:color w:val="000000"/>
          <w:sz w:val="19"/>
          <w:szCs w:val="19"/>
        </w:rPr>
        <w:t xml:space="preserve">trzregionalnym najwyższym PKB w </w:t>
      </w:r>
      <w:r w:rsidR="00814A82" w:rsidRPr="00AE35C1">
        <w:rPr>
          <w:rFonts w:eastAsia="Times New Roman" w:cs="Arial"/>
          <w:color w:val="000000"/>
          <w:sz w:val="19"/>
          <w:szCs w:val="19"/>
        </w:rPr>
        <w:t>przeliczeniu na</w:t>
      </w:r>
      <w:r w:rsidR="0025610F" w:rsidRPr="00AE35C1">
        <w:rPr>
          <w:rFonts w:eastAsia="Times New Roman" w:cs="Arial"/>
          <w:color w:val="000000"/>
          <w:sz w:val="19"/>
          <w:szCs w:val="19"/>
        </w:rPr>
        <w:t xml:space="preserve"> </w:t>
      </w:r>
      <w:r w:rsidR="00814A82" w:rsidRPr="00AE35C1">
        <w:rPr>
          <w:rFonts w:eastAsia="Times New Roman" w:cs="Arial"/>
          <w:color w:val="000000"/>
          <w:sz w:val="19"/>
          <w:szCs w:val="19"/>
        </w:rPr>
        <w:t>1 mieszkańca wykazywał się podregion miasto Wrocław (164,5% średniej wartości dla Dolnego Śląska), a najniższym PKB per capita cechował się podregion wałbrzyski (73,7%).</w:t>
      </w:r>
      <w:r w:rsidR="00356868" w:rsidRPr="00AE35C1">
        <w:rPr>
          <w:rFonts w:eastAsia="Times New Roman" w:cs="Arial"/>
          <w:color w:val="000000"/>
          <w:sz w:val="19"/>
          <w:szCs w:val="19"/>
        </w:rPr>
        <w:t xml:space="preserve"> W latach 20</w:t>
      </w:r>
      <w:r w:rsidR="000666B0" w:rsidRPr="00AE35C1">
        <w:rPr>
          <w:rFonts w:eastAsia="Times New Roman" w:cs="Arial"/>
          <w:color w:val="000000"/>
          <w:sz w:val="19"/>
          <w:szCs w:val="19"/>
        </w:rPr>
        <w:t>10-2015 większość podregionów w </w:t>
      </w:r>
      <w:r w:rsidR="00356868" w:rsidRPr="00AE35C1">
        <w:rPr>
          <w:rFonts w:eastAsia="Times New Roman" w:cs="Arial"/>
          <w:color w:val="000000"/>
          <w:sz w:val="19"/>
          <w:szCs w:val="19"/>
        </w:rPr>
        <w:t>województwie zarejestrowało znaczący (zbliżony bądź wyższy od średniej wartości w kraju – wynoszący 24,7%) wzrost PKB per capita: wrocławski (o 39,4%), miasto Wrocław (31,9%), jeleniogórski (24,9%) oraz wałbrzyski (23,3%). W badanym okresie jedynie podregion legnicko-głogowski cechował się zbliżonymi wartościami wskaźnika (wzrost zaledwie o 0,9%).</w:t>
      </w:r>
    </w:p>
    <w:p w:rsidR="0093735C" w:rsidRDefault="001D1B69" w:rsidP="00814A82">
      <w:pPr>
        <w:spacing w:before="120" w:after="120" w:line="288" w:lineRule="auto"/>
        <w:jc w:val="both"/>
        <w:rPr>
          <w:color w:val="000000"/>
          <w:sz w:val="19"/>
          <w:szCs w:val="19"/>
        </w:rPr>
      </w:pPr>
      <w:r w:rsidRPr="00AE35C1">
        <w:rPr>
          <w:color w:val="000000"/>
          <w:sz w:val="19"/>
          <w:szCs w:val="19"/>
        </w:rPr>
        <w:t xml:space="preserve">Jednocześnie </w:t>
      </w:r>
      <w:r w:rsidRPr="00AE35C1">
        <w:rPr>
          <w:b/>
          <w:color w:val="000000"/>
          <w:sz w:val="19"/>
          <w:szCs w:val="19"/>
        </w:rPr>
        <w:t>produkt krajowy brutto na 1 mieszkańca według PPS</w:t>
      </w:r>
      <w:r w:rsidRPr="00AE35C1">
        <w:rPr>
          <w:color w:val="000000"/>
          <w:sz w:val="19"/>
          <w:szCs w:val="19"/>
        </w:rPr>
        <w:t xml:space="preserve"> stanowił na Dolnym Śląsku 76,4% średniej europejskiej (UE-</w:t>
      </w:r>
      <w:r w:rsidR="002A0928" w:rsidRPr="00AE35C1">
        <w:rPr>
          <w:color w:val="000000"/>
          <w:sz w:val="19"/>
          <w:szCs w:val="19"/>
        </w:rPr>
        <w:t>28), co klasyfikowało region na </w:t>
      </w:r>
      <w:r w:rsidRPr="00AE35C1">
        <w:rPr>
          <w:color w:val="000000"/>
          <w:sz w:val="19"/>
          <w:szCs w:val="19"/>
        </w:rPr>
        <w:t>2.</w:t>
      </w:r>
      <w:r w:rsidR="0025610F" w:rsidRPr="00AE35C1">
        <w:rPr>
          <w:color w:val="000000"/>
          <w:sz w:val="19"/>
          <w:szCs w:val="19"/>
        </w:rPr>
        <w:t> </w:t>
      </w:r>
      <w:r w:rsidRPr="00AE35C1">
        <w:rPr>
          <w:color w:val="000000"/>
          <w:sz w:val="19"/>
          <w:szCs w:val="19"/>
        </w:rPr>
        <w:t xml:space="preserve">miejscu w kraju po województwie mazowieckim (109,3%). W porównaniu z regionami sąsiednimi jedynie Saksonia odznaczała się wyższą wartością PKB </w:t>
      </w:r>
      <w:r w:rsidR="00C66CE0" w:rsidRPr="00AE35C1">
        <w:rPr>
          <w:color w:val="000000"/>
          <w:sz w:val="19"/>
          <w:szCs w:val="19"/>
        </w:rPr>
        <w:t xml:space="preserve">niż Dolny Śląsk </w:t>
      </w:r>
      <w:r w:rsidRPr="00AE35C1">
        <w:rPr>
          <w:color w:val="000000"/>
          <w:sz w:val="19"/>
          <w:szCs w:val="19"/>
        </w:rPr>
        <w:t>(93%</w:t>
      </w:r>
      <w:r w:rsidR="0025610F" w:rsidRPr="00AE35C1">
        <w:rPr>
          <w:color w:val="000000"/>
          <w:sz w:val="19"/>
          <w:szCs w:val="19"/>
        </w:rPr>
        <w:t> </w:t>
      </w:r>
      <w:r w:rsidRPr="00AE35C1">
        <w:rPr>
          <w:color w:val="000000"/>
          <w:sz w:val="19"/>
          <w:szCs w:val="19"/>
        </w:rPr>
        <w:t xml:space="preserve">średniej UE-28), a pozostałe regiony odnotowały niższą wartość: </w:t>
      </w:r>
      <w:proofErr w:type="spellStart"/>
      <w:r w:rsidRPr="00AE35C1">
        <w:rPr>
          <w:color w:val="000000"/>
          <w:sz w:val="19"/>
          <w:szCs w:val="19"/>
        </w:rPr>
        <w:t>hradecki</w:t>
      </w:r>
      <w:proofErr w:type="spellEnd"/>
      <w:r w:rsidRPr="00AE35C1">
        <w:rPr>
          <w:color w:val="000000"/>
          <w:sz w:val="19"/>
          <w:szCs w:val="19"/>
        </w:rPr>
        <w:t xml:space="preserve"> (76%), wielkopolskie (75%)</w:t>
      </w:r>
      <w:r w:rsidR="0025610F" w:rsidRPr="00AE35C1">
        <w:rPr>
          <w:color w:val="000000"/>
          <w:sz w:val="19"/>
          <w:szCs w:val="19"/>
        </w:rPr>
        <w:t xml:space="preserve">, pardubicki (70%), </w:t>
      </w:r>
      <w:proofErr w:type="spellStart"/>
      <w:r w:rsidR="0025610F" w:rsidRPr="00AE35C1">
        <w:rPr>
          <w:color w:val="000000"/>
          <w:sz w:val="19"/>
          <w:szCs w:val="19"/>
        </w:rPr>
        <w:t>liberecki</w:t>
      </w:r>
      <w:proofErr w:type="spellEnd"/>
      <w:r w:rsidR="0025610F" w:rsidRPr="00AE35C1">
        <w:rPr>
          <w:color w:val="000000"/>
          <w:sz w:val="19"/>
          <w:szCs w:val="19"/>
        </w:rPr>
        <w:t xml:space="preserve"> </w:t>
      </w:r>
      <w:r w:rsidR="0025610F" w:rsidRPr="00AE35C1">
        <w:rPr>
          <w:color w:val="000000"/>
          <w:sz w:val="19"/>
          <w:szCs w:val="19"/>
        </w:rPr>
        <w:lastRenderedPageBreak/>
        <w:t>i</w:t>
      </w:r>
      <w:r w:rsidR="002050A7">
        <w:rPr>
          <w:color w:val="000000"/>
          <w:sz w:val="19"/>
          <w:szCs w:val="19"/>
        </w:rPr>
        <w:t> </w:t>
      </w:r>
      <w:r w:rsidRPr="00AE35C1">
        <w:rPr>
          <w:color w:val="000000"/>
          <w:sz w:val="19"/>
          <w:szCs w:val="19"/>
        </w:rPr>
        <w:t>ołomuniecki (po 67%), lubuskie (57%) oraz opolskie (55%).</w:t>
      </w:r>
    </w:p>
    <w:p w:rsidR="00191A1B" w:rsidRDefault="00191A1B" w:rsidP="00814A82">
      <w:pPr>
        <w:spacing w:before="120" w:after="120" w:line="288" w:lineRule="auto"/>
        <w:jc w:val="both"/>
        <w:rPr>
          <w:color w:val="000000"/>
          <w:sz w:val="19"/>
          <w:szCs w:val="19"/>
        </w:rPr>
      </w:pPr>
    </w:p>
    <w:p w:rsidR="00191A1B" w:rsidRDefault="00191A1B" w:rsidP="00814A82">
      <w:pPr>
        <w:spacing w:before="120" w:after="120" w:line="288" w:lineRule="auto"/>
        <w:jc w:val="both"/>
        <w:rPr>
          <w:color w:val="000000"/>
          <w:sz w:val="19"/>
          <w:szCs w:val="19"/>
        </w:rPr>
      </w:pPr>
    </w:p>
    <w:p w:rsidR="00191A1B" w:rsidRDefault="00191A1B" w:rsidP="00814A82">
      <w:pPr>
        <w:spacing w:before="120" w:after="120" w:line="288" w:lineRule="auto"/>
        <w:jc w:val="both"/>
        <w:rPr>
          <w:color w:val="000000"/>
          <w:sz w:val="19"/>
          <w:szCs w:val="19"/>
        </w:rPr>
      </w:pPr>
    </w:p>
    <w:p w:rsidR="00191A1B" w:rsidRDefault="00191A1B" w:rsidP="00814A82">
      <w:pPr>
        <w:spacing w:before="120" w:after="120" w:line="288" w:lineRule="auto"/>
        <w:jc w:val="both"/>
        <w:rPr>
          <w:color w:val="000000"/>
          <w:sz w:val="19"/>
          <w:szCs w:val="19"/>
        </w:rPr>
      </w:pPr>
    </w:p>
    <w:p w:rsidR="00191A1B" w:rsidRDefault="00191A1B" w:rsidP="00814A82">
      <w:pPr>
        <w:spacing w:before="120" w:after="120" w:line="288" w:lineRule="auto"/>
        <w:jc w:val="both"/>
        <w:rPr>
          <w:color w:val="000000"/>
          <w:sz w:val="19"/>
          <w:szCs w:val="19"/>
        </w:rPr>
      </w:pPr>
    </w:p>
    <w:p w:rsidR="00191A1B" w:rsidRDefault="00191A1B" w:rsidP="00814A82">
      <w:pPr>
        <w:spacing w:before="120" w:after="120" w:line="288" w:lineRule="auto"/>
        <w:jc w:val="both"/>
        <w:rPr>
          <w:color w:val="000000"/>
          <w:sz w:val="19"/>
          <w:szCs w:val="19"/>
        </w:rPr>
      </w:pPr>
    </w:p>
    <w:p w:rsidR="00191A1B" w:rsidRPr="00AE35C1" w:rsidRDefault="00191A1B" w:rsidP="00814A82">
      <w:pPr>
        <w:spacing w:before="120" w:after="120" w:line="288" w:lineRule="auto"/>
        <w:jc w:val="both"/>
        <w:rPr>
          <w:color w:val="000000"/>
          <w:sz w:val="19"/>
          <w:szCs w:val="19"/>
        </w:rPr>
      </w:pPr>
    </w:p>
    <w:p w:rsidR="0041150C" w:rsidRPr="00AE35C1" w:rsidRDefault="0041150C" w:rsidP="0041150C">
      <w:pPr>
        <w:pStyle w:val="MAPA"/>
        <w:spacing w:line="288" w:lineRule="auto"/>
        <w:jc w:val="both"/>
      </w:pPr>
      <w:r w:rsidRPr="00AE35C1">
        <w:t xml:space="preserve">MAPA </w:t>
      </w:r>
      <w:r w:rsidR="004964B3">
        <w:t>20</w:t>
      </w:r>
      <w:r w:rsidRPr="00AE35C1">
        <w:t>. PKB na 1 mieszkańca (wg PPS) w </w:t>
      </w:r>
      <w:r w:rsidR="00DD08A0">
        <w:t>sub</w:t>
      </w:r>
      <w:r w:rsidRPr="00AE35C1">
        <w:t>regionach województwa dolnoślaskiego (UE=100%)[2010-2014].</w:t>
      </w:r>
    </w:p>
    <w:p w:rsidR="0041150C" w:rsidRPr="00AE35C1" w:rsidRDefault="0055701D" w:rsidP="0041150C">
      <w:pPr>
        <w:spacing w:after="0" w:line="288" w:lineRule="auto"/>
        <w:jc w:val="center"/>
        <w:rPr>
          <w:color w:val="000000"/>
        </w:rPr>
      </w:pPr>
      <w:r>
        <w:rPr>
          <w:noProof/>
          <w:color w:val="000000"/>
          <w:lang w:eastAsia="pl-PL"/>
        </w:rPr>
        <w:drawing>
          <wp:inline distT="0" distB="0" distL="0" distR="0">
            <wp:extent cx="2781300" cy="2600325"/>
            <wp:effectExtent l="19050" t="0" r="0" b="0"/>
            <wp:docPr id="2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53" cstate="print"/>
                    <a:srcRect/>
                    <a:stretch>
                      <a:fillRect/>
                    </a:stretch>
                  </pic:blipFill>
                  <pic:spPr bwMode="auto">
                    <a:xfrm>
                      <a:off x="0" y="0"/>
                      <a:ext cx="2781300" cy="2600325"/>
                    </a:xfrm>
                    <a:prstGeom prst="rect">
                      <a:avLst/>
                    </a:prstGeom>
                    <a:noFill/>
                    <a:ln w="9525">
                      <a:noFill/>
                      <a:miter lim="800000"/>
                      <a:headEnd/>
                      <a:tailEnd/>
                    </a:ln>
                  </pic:spPr>
                </pic:pic>
              </a:graphicData>
            </a:graphic>
          </wp:inline>
        </w:drawing>
      </w:r>
    </w:p>
    <w:p w:rsidR="0041150C" w:rsidRPr="002E0272" w:rsidRDefault="0041150C" w:rsidP="002949AC">
      <w:pPr>
        <w:pStyle w:val="RDO"/>
        <w:spacing w:line="288" w:lineRule="auto"/>
        <w:rPr>
          <w:color w:val="000000"/>
        </w:rPr>
      </w:pPr>
      <w:r w:rsidRPr="002E0272">
        <w:rPr>
          <w:color w:val="000000"/>
        </w:rPr>
        <w:t>Źródło: opracowanie własne na podstawie danych EUROSTAT.</w:t>
      </w:r>
    </w:p>
    <w:p w:rsidR="0041150C" w:rsidRPr="00AE35C1" w:rsidRDefault="0041150C" w:rsidP="0041150C">
      <w:pPr>
        <w:pStyle w:val="MAPA"/>
        <w:spacing w:line="288" w:lineRule="auto"/>
        <w:jc w:val="both"/>
      </w:pPr>
      <w:r w:rsidRPr="00AE35C1">
        <w:t xml:space="preserve">MAPA </w:t>
      </w:r>
      <w:r w:rsidR="004964B3">
        <w:t>2</w:t>
      </w:r>
      <w:r w:rsidRPr="00AE35C1">
        <w:t>1. PKB NA 1 MIESZKAŃCA (Wg PPS) w regionach nuts2 w europie [2015].</w:t>
      </w:r>
    </w:p>
    <w:p w:rsidR="0041150C" w:rsidRDefault="00606D71" w:rsidP="0041150C">
      <w:pPr>
        <w:spacing w:after="0" w:line="288" w:lineRule="auto"/>
        <w:jc w:val="center"/>
        <w:rPr>
          <w:color w:val="000000"/>
        </w:rPr>
      </w:pPr>
      <w:r w:rsidRPr="002576FC">
        <w:rPr>
          <w:noProof/>
          <w:color w:val="000000"/>
          <w:lang w:eastAsia="pl-PL"/>
        </w:rPr>
        <w:lastRenderedPageBreak/>
        <w:drawing>
          <wp:inline distT="0" distB="0" distL="0" distR="0">
            <wp:extent cx="2780665" cy="3861435"/>
            <wp:effectExtent l="0" t="0" r="635" b="5715"/>
            <wp:docPr id="90" name="Obraz 90" descr="P:\ PROJEKTY 2017\09 SRWD 2030\04_Grafika\jpg\UE\Mapa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 PROJEKTY 2017\09 SRWD 2030\04_Grafika\jpg\UE\Mapa 19.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665" cy="3861435"/>
                    </a:xfrm>
                    <a:prstGeom prst="rect">
                      <a:avLst/>
                    </a:prstGeom>
                    <a:noFill/>
                    <a:ln>
                      <a:noFill/>
                    </a:ln>
                  </pic:spPr>
                </pic:pic>
              </a:graphicData>
            </a:graphic>
          </wp:inline>
        </w:drawing>
      </w:r>
    </w:p>
    <w:p w:rsidR="0041150C" w:rsidRPr="00D113CA" w:rsidRDefault="00DF7C1C" w:rsidP="0041150C">
      <w:pPr>
        <w:pStyle w:val="RDO"/>
        <w:spacing w:line="288" w:lineRule="auto"/>
        <w:rPr>
          <w:color w:val="000000"/>
        </w:rPr>
      </w:pPr>
      <w:r w:rsidRPr="00D113CA">
        <w:rPr>
          <w:color w:val="000000"/>
        </w:rPr>
        <w:t xml:space="preserve">Źródło: </w:t>
      </w:r>
      <w:r w:rsidR="00606D71" w:rsidRPr="00606D71">
        <w:rPr>
          <w:color w:val="000000"/>
        </w:rPr>
        <w:t xml:space="preserve">Siódmy raport na temat spójności gospodarczej, społecznej </w:t>
      </w:r>
      <w:r w:rsidR="00606D71">
        <w:rPr>
          <w:color w:val="000000"/>
        </w:rPr>
        <w:t>i</w:t>
      </w:r>
      <w:r w:rsidR="00606D71" w:rsidRPr="00606D71">
        <w:rPr>
          <w:color w:val="000000"/>
        </w:rPr>
        <w:t xml:space="preserve"> terytorialnej, </w:t>
      </w:r>
      <w:r w:rsidRPr="00D113CA">
        <w:rPr>
          <w:color w:val="000000"/>
        </w:rPr>
        <w:t>2017.</w:t>
      </w:r>
    </w:p>
    <w:p w:rsidR="002576FC" w:rsidRPr="00D113CA" w:rsidRDefault="002576FC" w:rsidP="0041150C">
      <w:pPr>
        <w:pStyle w:val="RDO"/>
        <w:spacing w:line="288" w:lineRule="auto"/>
        <w:rPr>
          <w:color w:val="000000"/>
        </w:rPr>
      </w:pPr>
    </w:p>
    <w:p w:rsidR="000C6BE4" w:rsidRPr="00AE35C1" w:rsidRDefault="0041150C" w:rsidP="0041150C">
      <w:pPr>
        <w:rPr>
          <w:color w:val="000000"/>
          <w:sz w:val="16"/>
          <w:szCs w:val="16"/>
        </w:rPr>
      </w:pPr>
      <w:r w:rsidRPr="00606D71">
        <w:br w:type="column"/>
      </w:r>
      <w:bookmarkStart w:id="35" w:name="_Toc499582768"/>
      <w:r w:rsidR="000C6BE4" w:rsidRPr="00AE35C1">
        <w:rPr>
          <w:rFonts w:ascii="Calibri Light" w:eastAsia="Times New Roman" w:hAnsi="Calibri Light"/>
          <w:caps/>
          <w:color w:val="000000"/>
          <w:sz w:val="20"/>
          <w:szCs w:val="20"/>
          <w:lang w:eastAsia="pl-PL"/>
        </w:rPr>
        <w:lastRenderedPageBreak/>
        <w:t>RYNEK PRACY</w:t>
      </w:r>
      <w:bookmarkEnd w:id="35"/>
    </w:p>
    <w:p w:rsidR="00B11E91" w:rsidRPr="00AE35C1" w:rsidRDefault="00B11E91" w:rsidP="00B11E91">
      <w:pPr>
        <w:spacing w:before="120" w:after="120" w:line="288" w:lineRule="auto"/>
        <w:jc w:val="both"/>
        <w:rPr>
          <w:rFonts w:cs="Calibri"/>
          <w:color w:val="000000"/>
          <w:sz w:val="19"/>
          <w:szCs w:val="19"/>
        </w:rPr>
      </w:pPr>
      <w:r w:rsidRPr="00AE35C1">
        <w:rPr>
          <w:rFonts w:cs="Arial"/>
          <w:color w:val="000000"/>
          <w:sz w:val="19"/>
          <w:szCs w:val="19"/>
        </w:rPr>
        <w:t xml:space="preserve">W województwie dolnośląskim w latach 2010-2016 </w:t>
      </w:r>
      <w:r w:rsidRPr="00AE35C1">
        <w:rPr>
          <w:rFonts w:cs="Arial"/>
          <w:b/>
          <w:color w:val="000000"/>
          <w:sz w:val="19"/>
          <w:szCs w:val="19"/>
        </w:rPr>
        <w:t xml:space="preserve">liczba pracujących </w:t>
      </w:r>
      <w:r w:rsidRPr="00AE35C1">
        <w:rPr>
          <w:rFonts w:cs="Arial"/>
          <w:color w:val="000000"/>
          <w:sz w:val="19"/>
          <w:szCs w:val="19"/>
        </w:rPr>
        <w:t>wzrosła o 9,3% (</w:t>
      </w:r>
      <w:r w:rsidR="00085DCB" w:rsidRPr="00AE35C1">
        <w:rPr>
          <w:rFonts w:cs="Arial"/>
          <w:color w:val="000000"/>
          <w:sz w:val="19"/>
          <w:szCs w:val="19"/>
        </w:rPr>
        <w:t>wg BAEL</w:t>
      </w:r>
      <w:r w:rsidR="00085DCB" w:rsidRPr="00AE35C1">
        <w:rPr>
          <w:rStyle w:val="Odwoanieprzypisudolnego"/>
          <w:rFonts w:cs="Arial"/>
          <w:color w:val="000000"/>
          <w:sz w:val="19"/>
          <w:szCs w:val="19"/>
        </w:rPr>
        <w:footnoteReference w:id="4"/>
      </w:r>
      <w:r w:rsidR="00085DCB" w:rsidRPr="00AE35C1">
        <w:rPr>
          <w:rFonts w:cs="Arial"/>
          <w:color w:val="000000"/>
          <w:sz w:val="19"/>
          <w:szCs w:val="19"/>
        </w:rPr>
        <w:t>)</w:t>
      </w:r>
      <w:r w:rsidRPr="00AE35C1">
        <w:rPr>
          <w:rFonts w:cs="Arial"/>
          <w:color w:val="000000"/>
          <w:sz w:val="19"/>
          <w:szCs w:val="19"/>
        </w:rPr>
        <w:t>. W 2016 roku, podobnie jak w</w:t>
      </w:r>
      <w:r w:rsidR="00E86EC3" w:rsidRPr="00AE35C1">
        <w:rPr>
          <w:rFonts w:cs="Arial"/>
          <w:color w:val="000000"/>
          <w:sz w:val="19"/>
          <w:szCs w:val="19"/>
        </w:rPr>
        <w:t> </w:t>
      </w:r>
      <w:r w:rsidRPr="00AE35C1">
        <w:rPr>
          <w:rFonts w:cs="Arial"/>
          <w:color w:val="000000"/>
          <w:sz w:val="19"/>
          <w:szCs w:val="19"/>
        </w:rPr>
        <w:t>latach poprzednich, zdecydowana</w:t>
      </w:r>
      <w:r w:rsidR="00085DCB" w:rsidRPr="00AE35C1">
        <w:rPr>
          <w:rFonts w:cs="Arial"/>
          <w:color w:val="000000"/>
          <w:sz w:val="19"/>
          <w:szCs w:val="19"/>
        </w:rPr>
        <w:t xml:space="preserve"> większość osób pracowała </w:t>
      </w:r>
      <w:r w:rsidR="0025610F" w:rsidRPr="00AE35C1">
        <w:rPr>
          <w:rFonts w:cs="Arial"/>
          <w:color w:val="000000"/>
          <w:sz w:val="19"/>
          <w:szCs w:val="19"/>
        </w:rPr>
        <w:t xml:space="preserve">w </w:t>
      </w:r>
      <w:r w:rsidRPr="00AE35C1">
        <w:rPr>
          <w:rFonts w:cs="Arial"/>
          <w:color w:val="000000"/>
          <w:sz w:val="19"/>
          <w:szCs w:val="19"/>
        </w:rPr>
        <w:t xml:space="preserve">usługach (59%) </w:t>
      </w:r>
      <w:r w:rsidR="00C66CE0" w:rsidRPr="00AE35C1">
        <w:rPr>
          <w:rFonts w:cs="Arial"/>
          <w:color w:val="000000"/>
          <w:sz w:val="19"/>
          <w:szCs w:val="19"/>
        </w:rPr>
        <w:t xml:space="preserve">oraz </w:t>
      </w:r>
      <w:r w:rsidRPr="00AE35C1">
        <w:rPr>
          <w:rFonts w:cs="Arial"/>
          <w:color w:val="000000"/>
          <w:sz w:val="19"/>
          <w:szCs w:val="19"/>
        </w:rPr>
        <w:t>w</w:t>
      </w:r>
      <w:r w:rsidR="00E86EC3" w:rsidRPr="00AE35C1">
        <w:rPr>
          <w:rFonts w:cs="Arial"/>
          <w:color w:val="000000"/>
          <w:sz w:val="19"/>
          <w:szCs w:val="19"/>
        </w:rPr>
        <w:t xml:space="preserve"> przemyśle i </w:t>
      </w:r>
      <w:r w:rsidRPr="00AE35C1">
        <w:rPr>
          <w:rFonts w:cs="Arial"/>
          <w:color w:val="000000"/>
          <w:sz w:val="19"/>
          <w:szCs w:val="19"/>
        </w:rPr>
        <w:t>budownictwie (36%). Najniższy odsetek pracujących odnotowano w ramach sekcji PKD związanych z rolnictwem, łowiectwem lub leśnictw</w:t>
      </w:r>
      <w:r w:rsidR="00E26B95" w:rsidRPr="00AE35C1">
        <w:rPr>
          <w:rFonts w:cs="Arial"/>
          <w:color w:val="000000"/>
          <w:sz w:val="19"/>
          <w:szCs w:val="19"/>
        </w:rPr>
        <w:t>em</w:t>
      </w:r>
      <w:r w:rsidRPr="00AE35C1">
        <w:rPr>
          <w:rFonts w:cs="Arial"/>
          <w:color w:val="000000"/>
          <w:sz w:val="19"/>
          <w:szCs w:val="19"/>
        </w:rPr>
        <w:t xml:space="preserve"> (5%). </w:t>
      </w:r>
      <w:r w:rsidR="006B44F9" w:rsidRPr="00AE35C1">
        <w:rPr>
          <w:rFonts w:cs="Arial"/>
          <w:color w:val="000000"/>
          <w:sz w:val="19"/>
          <w:szCs w:val="19"/>
        </w:rPr>
        <w:t xml:space="preserve">W </w:t>
      </w:r>
      <w:r w:rsidR="00C66CE0" w:rsidRPr="00AE35C1">
        <w:rPr>
          <w:rFonts w:cs="Arial"/>
          <w:color w:val="000000"/>
          <w:sz w:val="19"/>
          <w:szCs w:val="19"/>
        </w:rPr>
        <w:t>samym czasie</w:t>
      </w:r>
      <w:r w:rsidRPr="00AE35C1">
        <w:rPr>
          <w:rFonts w:cs="Arial"/>
          <w:b/>
          <w:color w:val="000000"/>
          <w:sz w:val="19"/>
          <w:szCs w:val="19"/>
        </w:rPr>
        <w:t xml:space="preserve"> wskaźnik zatrudnienia</w:t>
      </w:r>
      <w:r w:rsidRPr="00AE35C1">
        <w:rPr>
          <w:rFonts w:cs="Arial"/>
          <w:color w:val="000000"/>
          <w:sz w:val="19"/>
          <w:szCs w:val="19"/>
        </w:rPr>
        <w:t xml:space="preserve"> (</w:t>
      </w:r>
      <w:r w:rsidR="00085DCB" w:rsidRPr="00AE35C1">
        <w:rPr>
          <w:rFonts w:cs="Arial"/>
          <w:color w:val="000000"/>
          <w:sz w:val="19"/>
          <w:szCs w:val="19"/>
        </w:rPr>
        <w:t xml:space="preserve">wg </w:t>
      </w:r>
      <w:r w:rsidRPr="00AE35C1">
        <w:rPr>
          <w:rFonts w:cs="Arial"/>
          <w:color w:val="000000"/>
          <w:sz w:val="19"/>
          <w:szCs w:val="19"/>
        </w:rPr>
        <w:t>BAEL) określający odsetek</w:t>
      </w:r>
      <w:r w:rsidR="000666B0" w:rsidRPr="00AE35C1">
        <w:rPr>
          <w:rFonts w:cs="Arial"/>
          <w:color w:val="000000"/>
          <w:sz w:val="19"/>
          <w:szCs w:val="19"/>
        </w:rPr>
        <w:t xml:space="preserve"> ludności pracującej zawodowo w </w:t>
      </w:r>
      <w:r w:rsidRPr="00AE35C1">
        <w:rPr>
          <w:rFonts w:cs="Arial"/>
          <w:color w:val="000000"/>
          <w:sz w:val="19"/>
          <w:szCs w:val="19"/>
        </w:rPr>
        <w:t>wieku od 15. do 64. roku</w:t>
      </w:r>
      <w:r w:rsidR="000666B0" w:rsidRPr="00AE35C1">
        <w:rPr>
          <w:rFonts w:cs="Arial"/>
          <w:color w:val="000000"/>
          <w:sz w:val="19"/>
          <w:szCs w:val="19"/>
        </w:rPr>
        <w:t xml:space="preserve"> życia wyniósł 53,3% i wzrósł o </w:t>
      </w:r>
      <w:r w:rsidRPr="00AE35C1">
        <w:rPr>
          <w:rFonts w:cs="Arial"/>
          <w:color w:val="000000"/>
          <w:sz w:val="19"/>
          <w:szCs w:val="19"/>
        </w:rPr>
        <w:t xml:space="preserve">5,2 </w:t>
      </w:r>
      <w:proofErr w:type="spellStart"/>
      <w:r w:rsidRPr="00AE35C1">
        <w:rPr>
          <w:rFonts w:cs="Arial"/>
          <w:color w:val="000000"/>
          <w:sz w:val="19"/>
          <w:szCs w:val="19"/>
        </w:rPr>
        <w:t>p.p</w:t>
      </w:r>
      <w:proofErr w:type="spellEnd"/>
      <w:r w:rsidRPr="00AE35C1">
        <w:rPr>
          <w:rFonts w:cs="Arial"/>
          <w:color w:val="000000"/>
          <w:sz w:val="19"/>
          <w:szCs w:val="19"/>
        </w:rPr>
        <w:t>. w</w:t>
      </w:r>
      <w:r w:rsidR="00E86EC3" w:rsidRPr="00AE35C1">
        <w:rPr>
          <w:rFonts w:cs="Arial"/>
          <w:color w:val="000000"/>
          <w:sz w:val="19"/>
          <w:szCs w:val="19"/>
        </w:rPr>
        <w:t> </w:t>
      </w:r>
      <w:r w:rsidR="006B44F9" w:rsidRPr="00AE35C1">
        <w:rPr>
          <w:rFonts w:cs="Arial"/>
          <w:color w:val="000000"/>
          <w:sz w:val="19"/>
          <w:szCs w:val="19"/>
        </w:rPr>
        <w:t>stosunku do danych z 2010 roku.</w:t>
      </w:r>
      <w:r w:rsidRPr="00AE35C1">
        <w:rPr>
          <w:rFonts w:cs="Arial"/>
          <w:color w:val="000000"/>
          <w:sz w:val="19"/>
          <w:szCs w:val="19"/>
        </w:rPr>
        <w:t xml:space="preserve"> </w:t>
      </w:r>
    </w:p>
    <w:p w:rsidR="001F50CE" w:rsidRPr="00AE35C1" w:rsidRDefault="00E86EC3" w:rsidP="00B11E91">
      <w:pPr>
        <w:spacing w:before="120" w:after="120" w:line="288" w:lineRule="auto"/>
        <w:jc w:val="both"/>
        <w:rPr>
          <w:rFonts w:cs="Arial"/>
          <w:color w:val="000000"/>
          <w:sz w:val="19"/>
          <w:szCs w:val="19"/>
        </w:rPr>
      </w:pPr>
      <w:r w:rsidRPr="00AE35C1">
        <w:rPr>
          <w:rFonts w:cs="Arial"/>
          <w:color w:val="000000"/>
          <w:sz w:val="19"/>
          <w:szCs w:val="19"/>
        </w:rPr>
        <w:t xml:space="preserve">Od 2010 do </w:t>
      </w:r>
      <w:r w:rsidR="00B11E91" w:rsidRPr="00AE35C1">
        <w:rPr>
          <w:rFonts w:cs="Arial"/>
          <w:color w:val="000000"/>
          <w:sz w:val="19"/>
          <w:szCs w:val="19"/>
        </w:rPr>
        <w:t>2016</w:t>
      </w:r>
      <w:r w:rsidRPr="00AE35C1">
        <w:rPr>
          <w:rFonts w:cs="Arial"/>
          <w:color w:val="000000"/>
          <w:sz w:val="19"/>
          <w:szCs w:val="19"/>
        </w:rPr>
        <w:t xml:space="preserve"> roku </w:t>
      </w:r>
      <w:r w:rsidR="00B11E91" w:rsidRPr="00AE35C1">
        <w:rPr>
          <w:rFonts w:cs="Arial"/>
          <w:color w:val="000000"/>
          <w:sz w:val="19"/>
          <w:szCs w:val="19"/>
        </w:rPr>
        <w:t xml:space="preserve">udział </w:t>
      </w:r>
      <w:r w:rsidR="00B11E91" w:rsidRPr="00AE35C1">
        <w:rPr>
          <w:rFonts w:cs="Arial"/>
          <w:b/>
          <w:color w:val="000000"/>
          <w:sz w:val="19"/>
          <w:szCs w:val="19"/>
        </w:rPr>
        <w:t>bezrobotnych zarejestrowanych</w:t>
      </w:r>
      <w:r w:rsidRPr="00AE35C1">
        <w:rPr>
          <w:rFonts w:cs="Arial"/>
          <w:color w:val="000000"/>
          <w:sz w:val="19"/>
          <w:szCs w:val="19"/>
        </w:rPr>
        <w:t xml:space="preserve"> w liczbie ludności w</w:t>
      </w:r>
      <w:r w:rsidR="00486601" w:rsidRPr="00AE35C1">
        <w:rPr>
          <w:rFonts w:cs="Arial"/>
          <w:color w:val="000000"/>
          <w:sz w:val="19"/>
          <w:szCs w:val="19"/>
        </w:rPr>
        <w:t> </w:t>
      </w:r>
      <w:r w:rsidR="00B11E91" w:rsidRPr="00AE35C1">
        <w:rPr>
          <w:rFonts w:cs="Arial"/>
          <w:color w:val="000000"/>
          <w:sz w:val="19"/>
          <w:szCs w:val="19"/>
        </w:rPr>
        <w:t xml:space="preserve">wieku produkcyjnym spadł </w:t>
      </w:r>
      <w:r w:rsidRPr="00AE35C1">
        <w:rPr>
          <w:rFonts w:cs="Arial"/>
          <w:color w:val="000000"/>
          <w:sz w:val="19"/>
          <w:szCs w:val="19"/>
        </w:rPr>
        <w:t xml:space="preserve">na Dolnym Śląsku w </w:t>
      </w:r>
      <w:r w:rsidR="00486601" w:rsidRPr="00AE35C1">
        <w:rPr>
          <w:rFonts w:cs="Arial"/>
          <w:color w:val="000000"/>
          <w:sz w:val="19"/>
          <w:szCs w:val="19"/>
        </w:rPr>
        <w:t>o </w:t>
      </w:r>
      <w:r w:rsidR="00B11E91" w:rsidRPr="00AE35C1">
        <w:rPr>
          <w:rFonts w:cs="Arial"/>
          <w:color w:val="000000"/>
          <w:sz w:val="19"/>
          <w:szCs w:val="19"/>
        </w:rPr>
        <w:t xml:space="preserve">3,1 </w:t>
      </w:r>
      <w:proofErr w:type="spellStart"/>
      <w:r w:rsidR="00B11E91" w:rsidRPr="00AE35C1">
        <w:rPr>
          <w:rFonts w:cs="Arial"/>
          <w:color w:val="000000"/>
          <w:sz w:val="19"/>
          <w:szCs w:val="19"/>
        </w:rPr>
        <w:t>p.p</w:t>
      </w:r>
      <w:proofErr w:type="spellEnd"/>
      <w:r w:rsidR="00B11E91" w:rsidRPr="00AE35C1">
        <w:rPr>
          <w:rFonts w:cs="Arial"/>
          <w:color w:val="000000"/>
          <w:sz w:val="19"/>
          <w:szCs w:val="19"/>
        </w:rPr>
        <w:t xml:space="preserve">. i wynosił na koniec analizowanego okresu 4,8%. </w:t>
      </w:r>
      <w:r w:rsidR="00B11E91" w:rsidRPr="00AE35C1">
        <w:rPr>
          <w:rFonts w:cs="Arial"/>
          <w:b/>
          <w:color w:val="000000"/>
          <w:sz w:val="19"/>
          <w:szCs w:val="19"/>
        </w:rPr>
        <w:t>Stopa bezrobocia rejestrowanego</w:t>
      </w:r>
      <w:r w:rsidR="00B11E91" w:rsidRPr="00AE35C1">
        <w:rPr>
          <w:rFonts w:cs="Arial"/>
          <w:color w:val="000000"/>
          <w:sz w:val="19"/>
          <w:szCs w:val="19"/>
        </w:rPr>
        <w:t xml:space="preserve"> w tym czasie spadła o</w:t>
      </w:r>
      <w:r w:rsidR="0008736D" w:rsidRPr="00AE35C1">
        <w:rPr>
          <w:rFonts w:cs="Arial"/>
          <w:color w:val="000000"/>
          <w:sz w:val="19"/>
          <w:szCs w:val="19"/>
        </w:rPr>
        <w:t> </w:t>
      </w:r>
      <w:r w:rsidR="006B44F9" w:rsidRPr="00AE35C1">
        <w:rPr>
          <w:rFonts w:cs="Arial"/>
          <w:color w:val="000000"/>
          <w:sz w:val="19"/>
          <w:szCs w:val="19"/>
        </w:rPr>
        <w:t xml:space="preserve">5,9 </w:t>
      </w:r>
      <w:proofErr w:type="spellStart"/>
      <w:r w:rsidR="006B44F9" w:rsidRPr="00AE35C1">
        <w:rPr>
          <w:rFonts w:cs="Arial"/>
          <w:color w:val="000000"/>
          <w:sz w:val="19"/>
          <w:szCs w:val="19"/>
        </w:rPr>
        <w:t>p.p</w:t>
      </w:r>
      <w:proofErr w:type="spellEnd"/>
      <w:r w:rsidR="006B44F9" w:rsidRPr="00AE35C1">
        <w:rPr>
          <w:rFonts w:cs="Arial"/>
          <w:color w:val="000000"/>
          <w:sz w:val="19"/>
          <w:szCs w:val="19"/>
        </w:rPr>
        <w:t>. i w 2016 roku</w:t>
      </w:r>
      <w:r w:rsidR="00B11E91" w:rsidRPr="00AE35C1">
        <w:rPr>
          <w:rFonts w:cs="Arial"/>
          <w:color w:val="000000"/>
          <w:sz w:val="19"/>
          <w:szCs w:val="19"/>
        </w:rPr>
        <w:t xml:space="preserve"> wyniosła 7,2% (średnia krajowa 8,2%). Na tle innych województw dolnośląskie wyróżni</w:t>
      </w:r>
      <w:r w:rsidR="00025589" w:rsidRPr="00AE35C1">
        <w:rPr>
          <w:rFonts w:cs="Arial"/>
          <w:color w:val="000000"/>
          <w:sz w:val="19"/>
          <w:szCs w:val="19"/>
        </w:rPr>
        <w:t xml:space="preserve">a się </w:t>
      </w:r>
      <w:r w:rsidR="00E26B95" w:rsidRPr="00AE35C1">
        <w:rPr>
          <w:rFonts w:cs="Arial"/>
          <w:color w:val="000000"/>
          <w:sz w:val="19"/>
          <w:szCs w:val="19"/>
        </w:rPr>
        <w:t xml:space="preserve">znacznym </w:t>
      </w:r>
      <w:r w:rsidR="00152965" w:rsidRPr="00AE35C1">
        <w:rPr>
          <w:rFonts w:cs="Arial"/>
          <w:color w:val="000000"/>
          <w:sz w:val="19"/>
          <w:szCs w:val="19"/>
        </w:rPr>
        <w:t xml:space="preserve">tempem </w:t>
      </w:r>
      <w:r w:rsidR="00025589" w:rsidRPr="00AE35C1">
        <w:rPr>
          <w:rFonts w:cs="Arial"/>
          <w:color w:val="000000"/>
          <w:sz w:val="19"/>
          <w:szCs w:val="19"/>
        </w:rPr>
        <w:t>spadk</w:t>
      </w:r>
      <w:r w:rsidR="00152965" w:rsidRPr="00AE35C1">
        <w:rPr>
          <w:rFonts w:cs="Arial"/>
          <w:color w:val="000000"/>
          <w:sz w:val="19"/>
          <w:szCs w:val="19"/>
        </w:rPr>
        <w:t>u</w:t>
      </w:r>
      <w:r w:rsidR="00025589" w:rsidRPr="00AE35C1">
        <w:rPr>
          <w:rFonts w:cs="Arial"/>
          <w:color w:val="000000"/>
          <w:sz w:val="19"/>
          <w:szCs w:val="19"/>
        </w:rPr>
        <w:t xml:space="preserve"> bezrobocia.</w:t>
      </w:r>
    </w:p>
    <w:p w:rsidR="004D6D17" w:rsidRPr="00AE35C1" w:rsidRDefault="0093735C" w:rsidP="004D6D17">
      <w:pPr>
        <w:spacing w:before="120" w:after="120" w:line="288" w:lineRule="auto"/>
        <w:jc w:val="both"/>
        <w:rPr>
          <w:rFonts w:cs="Arial"/>
          <w:color w:val="000000"/>
          <w:sz w:val="19"/>
          <w:szCs w:val="19"/>
        </w:rPr>
      </w:pPr>
      <w:r w:rsidRPr="00AE35C1">
        <w:rPr>
          <w:rFonts w:cs="Arial"/>
          <w:color w:val="000000"/>
          <w:sz w:val="19"/>
          <w:szCs w:val="19"/>
        </w:rPr>
        <w:t>W 2016 r</w:t>
      </w:r>
      <w:r w:rsidR="00C66CE0" w:rsidRPr="00AE35C1">
        <w:rPr>
          <w:rFonts w:cs="Arial"/>
          <w:color w:val="000000"/>
          <w:sz w:val="19"/>
          <w:szCs w:val="19"/>
        </w:rPr>
        <w:t>oku</w:t>
      </w:r>
      <w:r w:rsidRPr="00AE35C1">
        <w:rPr>
          <w:rFonts w:cs="Arial"/>
          <w:color w:val="000000"/>
          <w:sz w:val="19"/>
          <w:szCs w:val="19"/>
        </w:rPr>
        <w:t xml:space="preserve"> najliczniejszą grupą bezrobotnych były osoby w wieku od 25 do 34 lat (25% ogółu bezrobotnych rejestrowanych), kolejno osoby w wieku: 55 lat i więcej (24%), 35-44 lata (22%), 45-54 lata (18%), 24 lata i mniej (10%). Pod względem wykształcenia główną grupę bezrobotnych stanowiły osoby z wykształceniem gimnazjalnym i niższym. </w:t>
      </w:r>
      <w:r w:rsidR="00C66CE0" w:rsidRPr="00AE35C1">
        <w:rPr>
          <w:rFonts w:cs="Arial"/>
          <w:color w:val="000000"/>
          <w:sz w:val="19"/>
          <w:szCs w:val="19"/>
        </w:rPr>
        <w:t>Znaczący</w:t>
      </w:r>
      <w:r w:rsidR="009362F6" w:rsidRPr="00AE35C1">
        <w:rPr>
          <w:rFonts w:cs="Arial"/>
          <w:color w:val="000000"/>
          <w:sz w:val="19"/>
          <w:szCs w:val="19"/>
        </w:rPr>
        <w:t xml:space="preserve"> </w:t>
      </w:r>
      <w:r w:rsidR="00C66CE0" w:rsidRPr="00AE35C1">
        <w:rPr>
          <w:rFonts w:cs="Arial"/>
          <w:color w:val="000000"/>
          <w:sz w:val="19"/>
          <w:szCs w:val="19"/>
        </w:rPr>
        <w:t xml:space="preserve">problem na dolnośląskim rynku pracy </w:t>
      </w:r>
      <w:r w:rsidR="00D70C9D" w:rsidRPr="00AE35C1">
        <w:rPr>
          <w:rFonts w:cs="Arial"/>
          <w:color w:val="000000"/>
          <w:sz w:val="19"/>
          <w:szCs w:val="19"/>
        </w:rPr>
        <w:t xml:space="preserve">stanowi długotrwałe bezrobocie </w:t>
      </w:r>
      <w:r w:rsidR="00D70C9D" w:rsidRPr="00AE35C1">
        <w:rPr>
          <w:rFonts w:ascii="Times New Roman" w:hAnsi="Times New Roman"/>
          <w:color w:val="000000"/>
          <w:sz w:val="19"/>
          <w:szCs w:val="19"/>
        </w:rPr>
        <w:t>–</w:t>
      </w:r>
      <w:r w:rsidR="00D70C9D" w:rsidRPr="00AE35C1">
        <w:rPr>
          <w:rFonts w:cs="Arial"/>
          <w:color w:val="000000"/>
          <w:sz w:val="19"/>
          <w:szCs w:val="19"/>
        </w:rPr>
        <w:t xml:space="preserve"> udział osób </w:t>
      </w:r>
      <w:r w:rsidRPr="00AE35C1">
        <w:rPr>
          <w:rFonts w:cs="Arial"/>
          <w:color w:val="000000"/>
          <w:sz w:val="19"/>
          <w:szCs w:val="19"/>
        </w:rPr>
        <w:t>pozostające bez pracy powyżej 24 miesięcy</w:t>
      </w:r>
      <w:r w:rsidR="00D70C9D" w:rsidRPr="00AE35C1">
        <w:rPr>
          <w:rFonts w:cs="Arial"/>
          <w:color w:val="000000"/>
          <w:sz w:val="19"/>
          <w:szCs w:val="19"/>
        </w:rPr>
        <w:t xml:space="preserve"> wynosił</w:t>
      </w:r>
      <w:r w:rsidRPr="00AE35C1">
        <w:rPr>
          <w:rFonts w:cs="Arial"/>
          <w:color w:val="000000"/>
          <w:sz w:val="19"/>
          <w:szCs w:val="19"/>
        </w:rPr>
        <w:t xml:space="preserve"> </w:t>
      </w:r>
      <w:r w:rsidR="00D70C9D" w:rsidRPr="00AE35C1">
        <w:rPr>
          <w:rFonts w:cs="Arial"/>
          <w:color w:val="000000"/>
          <w:sz w:val="19"/>
          <w:szCs w:val="19"/>
        </w:rPr>
        <w:t xml:space="preserve">aż </w:t>
      </w:r>
      <w:r w:rsidRPr="00AE35C1">
        <w:rPr>
          <w:rFonts w:cs="Arial"/>
          <w:color w:val="000000"/>
          <w:sz w:val="19"/>
          <w:szCs w:val="19"/>
        </w:rPr>
        <w:t xml:space="preserve">20,9% ogółu </w:t>
      </w:r>
      <w:r w:rsidR="00D70C9D" w:rsidRPr="00AE35C1">
        <w:rPr>
          <w:rFonts w:cs="Arial"/>
          <w:color w:val="000000"/>
          <w:sz w:val="19"/>
          <w:szCs w:val="19"/>
        </w:rPr>
        <w:t xml:space="preserve">rejestrowanych </w:t>
      </w:r>
      <w:r w:rsidRPr="00AE35C1">
        <w:rPr>
          <w:rFonts w:cs="Arial"/>
          <w:color w:val="000000"/>
          <w:sz w:val="19"/>
          <w:szCs w:val="19"/>
        </w:rPr>
        <w:t xml:space="preserve">bezrobotnych. </w:t>
      </w:r>
    </w:p>
    <w:p w:rsidR="0093735C" w:rsidRPr="00AE35C1" w:rsidRDefault="004D6D17" w:rsidP="004D6D17">
      <w:pPr>
        <w:spacing w:before="120" w:after="120" w:line="288" w:lineRule="auto"/>
        <w:rPr>
          <w:rFonts w:cs="Arial"/>
          <w:color w:val="000000"/>
          <w:sz w:val="2"/>
          <w:szCs w:val="19"/>
        </w:rPr>
      </w:pPr>
      <w:r w:rsidRPr="00AE35C1">
        <w:rPr>
          <w:rFonts w:cs="Arial"/>
          <w:color w:val="000000"/>
          <w:sz w:val="19"/>
          <w:szCs w:val="19"/>
        </w:rPr>
        <w:br w:type="column"/>
      </w:r>
    </w:p>
    <w:tbl>
      <w:tblPr>
        <w:tblW w:w="0" w:type="auto"/>
        <w:tblInd w:w="-142" w:type="dxa"/>
        <w:tblLook w:val="04A0"/>
      </w:tblPr>
      <w:tblGrid>
        <w:gridCol w:w="4521"/>
      </w:tblGrid>
      <w:tr w:rsidR="0093735C" w:rsidRPr="00AE35C1" w:rsidTr="006A31A7">
        <w:tc>
          <w:tcPr>
            <w:tcW w:w="4521" w:type="dxa"/>
            <w:shd w:val="clear" w:color="auto" w:fill="auto"/>
          </w:tcPr>
          <w:p w:rsidR="0093735C" w:rsidRPr="00AE35C1" w:rsidRDefault="0093735C" w:rsidP="006A31A7">
            <w:pPr>
              <w:pStyle w:val="MAPA"/>
              <w:spacing w:before="0" w:line="288" w:lineRule="auto"/>
              <w:ind w:left="459" w:hanging="459"/>
              <w:jc w:val="both"/>
            </w:pPr>
            <w:bookmarkStart w:id="36" w:name="_Toc482170333"/>
            <w:r w:rsidRPr="00AE35C1">
              <w:t>MAPA 2</w:t>
            </w:r>
            <w:r w:rsidR="004964B3">
              <w:t>2</w:t>
            </w:r>
            <w:r w:rsidRPr="00AE35C1">
              <w:t>. Stopa bezrobocia i jej zmiana w powiatach (A) I </w:t>
            </w:r>
            <w:r w:rsidR="00DD08A0">
              <w:t>sub</w:t>
            </w:r>
            <w:r w:rsidRPr="00AE35C1">
              <w:t>REGIONACH (B) województwa dolnośląskiego [2010-2016]</w:t>
            </w:r>
            <w:bookmarkEnd w:id="36"/>
          </w:p>
          <w:p w:rsidR="0093735C" w:rsidRPr="00AE35C1" w:rsidRDefault="0055701D" w:rsidP="006A31A7">
            <w:pPr>
              <w:spacing w:before="120" w:after="0" w:line="288" w:lineRule="auto"/>
              <w:jc w:val="both"/>
              <w:rPr>
                <w:rFonts w:cs="Arial"/>
                <w:color w:val="000000"/>
                <w:sz w:val="19"/>
                <w:szCs w:val="19"/>
              </w:rPr>
            </w:pPr>
            <w:r>
              <w:rPr>
                <w:rFonts w:cs="Arial"/>
                <w:noProof/>
                <w:color w:val="000000"/>
                <w:sz w:val="19"/>
                <w:szCs w:val="19"/>
                <w:lang w:eastAsia="pl-PL"/>
              </w:rPr>
              <w:drawing>
                <wp:inline distT="0" distB="0" distL="0" distR="0">
                  <wp:extent cx="2702257" cy="2529385"/>
                  <wp:effectExtent l="0" t="0" r="3175" b="4445"/>
                  <wp:docPr id="24" name="Obraz 24" descr="% stopa bezrobocia_1016_04_050218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stopa bezrobocia_1016_04_050218_A"/>
                          <pic:cNvPicPr>
                            <a:picLocks noChangeAspect="1" noChangeArrowheads="1"/>
                          </pic:cNvPicPr>
                        </pic:nvPicPr>
                        <pic:blipFill>
                          <a:blip r:embed="rId55" cstate="print"/>
                          <a:srcRect/>
                          <a:stretch>
                            <a:fillRect/>
                          </a:stretch>
                        </pic:blipFill>
                        <pic:spPr bwMode="auto">
                          <a:xfrm>
                            <a:off x="0" y="0"/>
                            <a:ext cx="2710186" cy="2536807"/>
                          </a:xfrm>
                          <a:prstGeom prst="rect">
                            <a:avLst/>
                          </a:prstGeom>
                          <a:noFill/>
                          <a:ln w="9525">
                            <a:noFill/>
                            <a:miter lim="800000"/>
                            <a:headEnd/>
                            <a:tailEnd/>
                          </a:ln>
                        </pic:spPr>
                      </pic:pic>
                    </a:graphicData>
                  </a:graphic>
                </wp:inline>
              </w:drawing>
            </w:r>
          </w:p>
        </w:tc>
      </w:tr>
      <w:tr w:rsidR="0093735C" w:rsidRPr="00AE35C1" w:rsidTr="006A31A7">
        <w:tc>
          <w:tcPr>
            <w:tcW w:w="4521" w:type="dxa"/>
            <w:shd w:val="clear" w:color="auto" w:fill="auto"/>
          </w:tcPr>
          <w:p w:rsidR="0093735C" w:rsidRPr="00AE35C1" w:rsidRDefault="0055701D" w:rsidP="00E13EFC">
            <w:pPr>
              <w:pStyle w:val="RDO"/>
              <w:spacing w:line="288" w:lineRule="auto"/>
              <w:rPr>
                <w:color w:val="000000"/>
              </w:rPr>
            </w:pPr>
            <w:r>
              <w:rPr>
                <w:noProof/>
                <w:color w:val="000000"/>
              </w:rPr>
              <w:drawing>
                <wp:inline distT="0" distB="0" distL="0" distR="0">
                  <wp:extent cx="2729552" cy="2547582"/>
                  <wp:effectExtent l="0" t="0" r="0" b="5715"/>
                  <wp:docPr id="25" name="Obraz 25" descr="% stopa bezrobocia_nuts3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stopa bezrobocia_nuts3_B"/>
                          <pic:cNvPicPr>
                            <a:picLocks noChangeAspect="1" noChangeArrowheads="1"/>
                          </pic:cNvPicPr>
                        </pic:nvPicPr>
                        <pic:blipFill>
                          <a:blip r:embed="rId56" cstate="print"/>
                          <a:srcRect/>
                          <a:stretch>
                            <a:fillRect/>
                          </a:stretch>
                        </pic:blipFill>
                        <pic:spPr bwMode="auto">
                          <a:xfrm>
                            <a:off x="0" y="0"/>
                            <a:ext cx="2734425" cy="2552130"/>
                          </a:xfrm>
                          <a:prstGeom prst="rect">
                            <a:avLst/>
                          </a:prstGeom>
                          <a:noFill/>
                          <a:ln w="9525">
                            <a:noFill/>
                            <a:miter lim="800000"/>
                            <a:headEnd/>
                            <a:tailEnd/>
                          </a:ln>
                        </pic:spPr>
                      </pic:pic>
                    </a:graphicData>
                  </a:graphic>
                </wp:inline>
              </w:drawing>
            </w:r>
          </w:p>
          <w:p w:rsidR="0093735C" w:rsidRDefault="0093735C" w:rsidP="00E13EFC">
            <w:pPr>
              <w:pStyle w:val="RDO"/>
              <w:spacing w:line="288" w:lineRule="auto"/>
              <w:rPr>
                <w:color w:val="000000"/>
              </w:rPr>
            </w:pPr>
            <w:r w:rsidRPr="00AE35C1">
              <w:rPr>
                <w:color w:val="000000"/>
              </w:rPr>
              <w:t>Źródło: opracowanie własne na podstawie danych GUS.</w:t>
            </w:r>
          </w:p>
          <w:p w:rsidR="00E7427F" w:rsidRPr="00E7427F" w:rsidRDefault="00E7427F" w:rsidP="00E13EFC">
            <w:pPr>
              <w:pStyle w:val="RDO"/>
              <w:spacing w:line="288" w:lineRule="auto"/>
              <w:rPr>
                <w:i w:val="0"/>
                <w:color w:val="000000"/>
              </w:rPr>
            </w:pPr>
            <w:r w:rsidRPr="00E7427F">
              <w:rPr>
                <w:rFonts w:cs="Calibri"/>
                <w:b/>
                <w:i w:val="0"/>
                <w:color w:val="000000"/>
                <w:sz w:val="19"/>
                <w:szCs w:val="19"/>
              </w:rPr>
              <w:t xml:space="preserve">Stopa bezrobocia w grupie wiekowej 15–74 lat </w:t>
            </w:r>
            <w:r w:rsidRPr="00E7427F">
              <w:rPr>
                <w:rFonts w:cs="Calibri"/>
                <w:i w:val="0"/>
                <w:color w:val="000000"/>
                <w:sz w:val="19"/>
                <w:szCs w:val="19"/>
              </w:rPr>
              <w:t xml:space="preserve">(wg Eurostat) wynosiła na Dolnym Śląsku w 2016 roku 5,5% i kształtowała się na poziomie niższym niż średnia europejska (8,6%). Należy jednak zaznaczyć, że wszystkie regiony sąsiadujące z województwem dolnośląskim cechowały się niższym bezrobociem – zarówno regiony polskie: lubuskie (4,7%), wielkopolskie (4,8%), opolskie (5,0%), jak i zagraniczne: </w:t>
            </w:r>
            <w:proofErr w:type="spellStart"/>
            <w:r w:rsidRPr="00E7427F">
              <w:rPr>
                <w:rFonts w:cs="Calibri"/>
                <w:i w:val="0"/>
                <w:color w:val="000000"/>
                <w:sz w:val="19"/>
                <w:szCs w:val="19"/>
              </w:rPr>
              <w:t>Strední</w:t>
            </w:r>
            <w:proofErr w:type="spellEnd"/>
            <w:r w:rsidRPr="00E7427F">
              <w:rPr>
                <w:rFonts w:cs="Calibri"/>
                <w:i w:val="0"/>
                <w:color w:val="000000"/>
                <w:sz w:val="19"/>
                <w:szCs w:val="19"/>
              </w:rPr>
              <w:t xml:space="preserve"> </w:t>
            </w:r>
            <w:proofErr w:type="spellStart"/>
            <w:r w:rsidRPr="00E7427F">
              <w:rPr>
                <w:rFonts w:cs="Calibri"/>
                <w:i w:val="0"/>
                <w:color w:val="000000"/>
                <w:sz w:val="19"/>
                <w:szCs w:val="19"/>
              </w:rPr>
              <w:t>Morava</w:t>
            </w:r>
            <w:proofErr w:type="spellEnd"/>
            <w:r w:rsidRPr="00E7427F">
              <w:rPr>
                <w:rFonts w:cs="Calibri"/>
                <w:i w:val="0"/>
                <w:color w:val="000000"/>
                <w:sz w:val="19"/>
                <w:szCs w:val="19"/>
              </w:rPr>
              <w:t xml:space="preserve"> (3,9%), </w:t>
            </w:r>
            <w:proofErr w:type="spellStart"/>
            <w:r w:rsidRPr="00E7427F">
              <w:rPr>
                <w:rFonts w:cs="Calibri"/>
                <w:i w:val="0"/>
                <w:color w:val="000000"/>
                <w:sz w:val="19"/>
                <w:szCs w:val="19"/>
              </w:rPr>
              <w:t>Severovýchod</w:t>
            </w:r>
            <w:proofErr w:type="spellEnd"/>
            <w:r w:rsidRPr="00E7427F">
              <w:rPr>
                <w:rFonts w:cs="Calibri"/>
                <w:i w:val="0"/>
                <w:color w:val="000000"/>
                <w:sz w:val="19"/>
                <w:szCs w:val="19"/>
              </w:rPr>
              <w:t xml:space="preserve"> (4,0%), Saksonia (5,0%).</w:t>
            </w:r>
          </w:p>
        </w:tc>
      </w:tr>
    </w:tbl>
    <w:p w:rsidR="00A90152" w:rsidRPr="00AE35C1" w:rsidRDefault="004D6D17" w:rsidP="00E7427F">
      <w:pPr>
        <w:pStyle w:val="MAPA"/>
      </w:pPr>
      <w:r w:rsidRPr="00AE35C1">
        <w:rPr>
          <w:rFonts w:cs="Arial"/>
          <w:sz w:val="19"/>
          <w:szCs w:val="19"/>
        </w:rPr>
        <w:br w:type="column"/>
      </w:r>
      <w:r w:rsidR="00A90152" w:rsidRPr="00AE35C1">
        <w:lastRenderedPageBreak/>
        <w:t xml:space="preserve">MAPA </w:t>
      </w:r>
      <w:r w:rsidR="006517C0" w:rsidRPr="00AE35C1">
        <w:t>2</w:t>
      </w:r>
      <w:r w:rsidR="004964B3">
        <w:t>3</w:t>
      </w:r>
      <w:r w:rsidR="00A90152" w:rsidRPr="00AE35C1">
        <w:t>. Stopa bezrobocia w w r</w:t>
      </w:r>
      <w:r w:rsidR="00D20F69" w:rsidRPr="00AE35C1">
        <w:t>egionach nuts2 w europie [2016]</w:t>
      </w:r>
      <w:r w:rsidR="00A90152" w:rsidRPr="00AE35C1">
        <w:t xml:space="preserve"> </w:t>
      </w:r>
    </w:p>
    <w:p w:rsidR="00A90152" w:rsidRPr="00AE35C1" w:rsidRDefault="002576FC" w:rsidP="005F49A2">
      <w:pPr>
        <w:spacing w:after="0" w:line="288" w:lineRule="auto"/>
        <w:jc w:val="center"/>
        <w:rPr>
          <w:color w:val="000000"/>
        </w:rPr>
      </w:pPr>
      <w:r w:rsidRPr="002576FC">
        <w:rPr>
          <w:noProof/>
          <w:color w:val="000000"/>
          <w:lang w:eastAsia="pl-PL"/>
        </w:rPr>
        <w:drawing>
          <wp:inline distT="0" distB="0" distL="0" distR="0">
            <wp:extent cx="2720148" cy="3777488"/>
            <wp:effectExtent l="0" t="0" r="4445" b="0"/>
            <wp:docPr id="91" name="Obraz 91" descr="P:\ PROJEKTY 2017\09 SRWD 2030\04_Grafika\jpg\UE\Mapa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 PROJEKTY 2017\09 SRWD 2030\04_Grafika\jpg\UE\Mapa 21.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21421" cy="3779256"/>
                    </a:xfrm>
                    <a:prstGeom prst="rect">
                      <a:avLst/>
                    </a:prstGeom>
                    <a:noFill/>
                    <a:ln>
                      <a:noFill/>
                    </a:ln>
                  </pic:spPr>
                </pic:pic>
              </a:graphicData>
            </a:graphic>
          </wp:inline>
        </w:drawing>
      </w:r>
    </w:p>
    <w:p w:rsidR="00A90152" w:rsidRPr="00D113CA" w:rsidRDefault="00DF7C1C" w:rsidP="005F49A2">
      <w:pPr>
        <w:pStyle w:val="RDO"/>
        <w:spacing w:line="288" w:lineRule="auto"/>
        <w:rPr>
          <w:color w:val="000000"/>
        </w:rPr>
      </w:pPr>
      <w:r w:rsidRPr="00D113CA">
        <w:rPr>
          <w:color w:val="000000"/>
        </w:rPr>
        <w:t xml:space="preserve">Źródło: </w:t>
      </w:r>
      <w:r w:rsidR="00606D71" w:rsidRPr="00606D71">
        <w:rPr>
          <w:color w:val="000000"/>
        </w:rPr>
        <w:t xml:space="preserve">Siódmy raport na temat spójności gospodarczej, społecznej </w:t>
      </w:r>
      <w:r w:rsidR="00606D71">
        <w:rPr>
          <w:color w:val="000000"/>
        </w:rPr>
        <w:t>i</w:t>
      </w:r>
      <w:r w:rsidR="00606D71" w:rsidRPr="00606D71">
        <w:rPr>
          <w:color w:val="000000"/>
        </w:rPr>
        <w:t xml:space="preserve"> terytorialnej, </w:t>
      </w:r>
      <w:r w:rsidRPr="00D113CA">
        <w:rPr>
          <w:color w:val="000000"/>
        </w:rPr>
        <w:t>2017.</w:t>
      </w:r>
    </w:p>
    <w:p w:rsidR="00A90152" w:rsidRPr="00AE35C1" w:rsidRDefault="00A90152" w:rsidP="004931A8">
      <w:pPr>
        <w:pStyle w:val="Nagwek3"/>
        <w:rPr>
          <w:rFonts w:ascii="Calibri" w:hAnsi="Calibri" w:cs="Arial"/>
          <w:sz w:val="19"/>
          <w:szCs w:val="19"/>
        </w:rPr>
      </w:pPr>
      <w:bookmarkStart w:id="37" w:name="_Toc499582769"/>
      <w:bookmarkStart w:id="38" w:name="_Toc511716313"/>
      <w:r w:rsidRPr="00AE35C1">
        <w:t>PRZEDSIĘBIORCZOŚĆ</w:t>
      </w:r>
      <w:bookmarkEnd w:id="37"/>
      <w:r w:rsidR="00120D2B" w:rsidRPr="00AE35C1">
        <w:t xml:space="preserve"> I INNOWACYJNOŚĆ</w:t>
      </w:r>
      <w:bookmarkEnd w:id="38"/>
    </w:p>
    <w:p w:rsidR="001A0A84" w:rsidRPr="00AE35C1" w:rsidRDefault="00A90152" w:rsidP="00B11E91">
      <w:pPr>
        <w:pStyle w:val="RDO"/>
        <w:spacing w:line="288" w:lineRule="auto"/>
        <w:rPr>
          <w:i w:val="0"/>
          <w:color w:val="000000"/>
          <w:sz w:val="19"/>
          <w:szCs w:val="19"/>
        </w:rPr>
      </w:pPr>
      <w:r w:rsidRPr="00AE35C1">
        <w:rPr>
          <w:i w:val="0"/>
          <w:color w:val="000000"/>
          <w:sz w:val="19"/>
          <w:szCs w:val="19"/>
        </w:rPr>
        <w:t xml:space="preserve">Do rejestru REGON </w:t>
      </w:r>
      <w:r w:rsidR="00D756E6" w:rsidRPr="00AE35C1">
        <w:rPr>
          <w:i w:val="0"/>
          <w:color w:val="000000"/>
          <w:sz w:val="19"/>
          <w:szCs w:val="19"/>
        </w:rPr>
        <w:t xml:space="preserve">na Dolnym Śląsku </w:t>
      </w:r>
      <w:r w:rsidRPr="00AE35C1">
        <w:rPr>
          <w:i w:val="0"/>
          <w:color w:val="000000"/>
          <w:sz w:val="19"/>
          <w:szCs w:val="19"/>
        </w:rPr>
        <w:t xml:space="preserve">wpisanych jest ponad 361,3 tys. </w:t>
      </w:r>
      <w:r w:rsidRPr="00AE35C1">
        <w:rPr>
          <w:b/>
          <w:i w:val="0"/>
          <w:color w:val="000000"/>
          <w:sz w:val="19"/>
          <w:szCs w:val="19"/>
        </w:rPr>
        <w:t>podmiotów gospodarczych</w:t>
      </w:r>
      <w:r w:rsidRPr="00AE35C1">
        <w:rPr>
          <w:i w:val="0"/>
          <w:color w:val="000000"/>
          <w:sz w:val="19"/>
          <w:szCs w:val="19"/>
        </w:rPr>
        <w:t xml:space="preserve"> (8,5% podmiotów w kraju), a od 2010 roku ich liczba wzrosła o 9%. </w:t>
      </w:r>
      <w:r w:rsidR="00156E3A" w:rsidRPr="00AE35C1">
        <w:rPr>
          <w:i w:val="0"/>
          <w:color w:val="000000"/>
          <w:sz w:val="19"/>
          <w:szCs w:val="19"/>
        </w:rPr>
        <w:t>Pod względem ich liczby, w 2016 roku, p</w:t>
      </w:r>
      <w:r w:rsidRPr="00AE35C1">
        <w:rPr>
          <w:i w:val="0"/>
          <w:color w:val="000000"/>
          <w:sz w:val="19"/>
          <w:szCs w:val="19"/>
        </w:rPr>
        <w:t>odobnie jak w poprzednich latach, region plasował się na 5. miejscu w</w:t>
      </w:r>
      <w:r w:rsidR="00486601" w:rsidRPr="00AE35C1">
        <w:rPr>
          <w:i w:val="0"/>
          <w:color w:val="000000"/>
          <w:sz w:val="19"/>
          <w:szCs w:val="19"/>
        </w:rPr>
        <w:t> </w:t>
      </w:r>
      <w:r w:rsidRPr="00AE35C1">
        <w:rPr>
          <w:i w:val="0"/>
          <w:color w:val="000000"/>
          <w:sz w:val="19"/>
          <w:szCs w:val="19"/>
        </w:rPr>
        <w:t>kraju. Na</w:t>
      </w:r>
      <w:r w:rsidR="004931A8" w:rsidRPr="00AE35C1">
        <w:rPr>
          <w:i w:val="0"/>
          <w:color w:val="000000"/>
          <w:sz w:val="19"/>
          <w:szCs w:val="19"/>
        </w:rPr>
        <w:t> </w:t>
      </w:r>
      <w:r w:rsidRPr="00AE35C1">
        <w:rPr>
          <w:i w:val="0"/>
          <w:color w:val="000000"/>
          <w:sz w:val="19"/>
          <w:szCs w:val="19"/>
        </w:rPr>
        <w:t>10 tys. ludności województwa dolnośląskiego przypadało 1 244 podmiotów gospodarczych wpisanych do rejestru REGON, czyli powyżej średniej krajowej wynoszącej 1</w:t>
      </w:r>
      <w:r w:rsidR="002D3C88" w:rsidRPr="00AE35C1">
        <w:rPr>
          <w:i w:val="0"/>
          <w:color w:val="000000"/>
          <w:sz w:val="19"/>
          <w:szCs w:val="19"/>
        </w:rPr>
        <w:t> </w:t>
      </w:r>
      <w:r w:rsidRPr="00AE35C1">
        <w:rPr>
          <w:i w:val="0"/>
          <w:color w:val="000000"/>
          <w:sz w:val="19"/>
          <w:szCs w:val="19"/>
        </w:rPr>
        <w:t>103.</w:t>
      </w:r>
    </w:p>
    <w:p w:rsidR="00B11E91" w:rsidRDefault="002D3C88" w:rsidP="00B11E91">
      <w:pPr>
        <w:pStyle w:val="RDO"/>
        <w:spacing w:line="288" w:lineRule="auto"/>
        <w:rPr>
          <w:i w:val="0"/>
          <w:color w:val="000000"/>
          <w:sz w:val="19"/>
          <w:szCs w:val="19"/>
        </w:rPr>
      </w:pPr>
      <w:r w:rsidRPr="00AE35C1">
        <w:rPr>
          <w:i w:val="0"/>
          <w:color w:val="000000"/>
          <w:sz w:val="19"/>
          <w:szCs w:val="19"/>
        </w:rPr>
        <w:t>W sektorze prywatnym działa</w:t>
      </w:r>
      <w:r w:rsidR="00E26B95" w:rsidRPr="00AE35C1">
        <w:rPr>
          <w:i w:val="0"/>
          <w:color w:val="000000"/>
          <w:sz w:val="19"/>
          <w:szCs w:val="19"/>
        </w:rPr>
        <w:t>ło</w:t>
      </w:r>
      <w:r w:rsidRPr="00AE35C1">
        <w:rPr>
          <w:i w:val="0"/>
          <w:color w:val="000000"/>
          <w:sz w:val="19"/>
          <w:szCs w:val="19"/>
        </w:rPr>
        <w:t xml:space="preserve"> 94,7% podmiotów gospodarki narodowej, co </w:t>
      </w:r>
      <w:r w:rsidR="00156E3A" w:rsidRPr="00AE35C1">
        <w:rPr>
          <w:i w:val="0"/>
          <w:color w:val="000000"/>
          <w:sz w:val="19"/>
          <w:szCs w:val="19"/>
        </w:rPr>
        <w:t xml:space="preserve">było </w:t>
      </w:r>
      <w:r w:rsidRPr="00AE35C1">
        <w:rPr>
          <w:i w:val="0"/>
          <w:color w:val="000000"/>
          <w:sz w:val="19"/>
          <w:szCs w:val="19"/>
        </w:rPr>
        <w:t>najniższym udziałem wśród województw w Polsce. 96,5% wszystkich zarejestrowanych w regionie przedsiębiorstw stanowi</w:t>
      </w:r>
      <w:r w:rsidR="00E26B95" w:rsidRPr="00AE35C1">
        <w:rPr>
          <w:i w:val="0"/>
          <w:color w:val="000000"/>
          <w:sz w:val="19"/>
          <w:szCs w:val="19"/>
        </w:rPr>
        <w:t>ły</w:t>
      </w:r>
      <w:r w:rsidRPr="00AE35C1">
        <w:rPr>
          <w:i w:val="0"/>
          <w:color w:val="000000"/>
          <w:sz w:val="19"/>
          <w:szCs w:val="19"/>
        </w:rPr>
        <w:t xml:space="preserve"> mikroprzedsiębiorstwa zatrudniające do 9 pracowników. Na Dolnym Śląsku </w:t>
      </w:r>
      <w:r w:rsidR="00F22AAD" w:rsidRPr="00AE35C1">
        <w:rPr>
          <w:i w:val="0"/>
          <w:color w:val="000000"/>
          <w:sz w:val="19"/>
          <w:szCs w:val="19"/>
        </w:rPr>
        <w:t>działaln</w:t>
      </w:r>
      <w:r w:rsidR="000666B0" w:rsidRPr="00AE35C1">
        <w:rPr>
          <w:i w:val="0"/>
          <w:color w:val="000000"/>
          <w:sz w:val="19"/>
          <w:szCs w:val="19"/>
        </w:rPr>
        <w:t>ość prowadz</w:t>
      </w:r>
      <w:r w:rsidR="00E26B95" w:rsidRPr="00AE35C1">
        <w:rPr>
          <w:i w:val="0"/>
          <w:color w:val="000000"/>
          <w:sz w:val="19"/>
          <w:szCs w:val="19"/>
        </w:rPr>
        <w:t>ił</w:t>
      </w:r>
      <w:r w:rsidR="00156E3A" w:rsidRPr="00AE35C1">
        <w:rPr>
          <w:i w:val="0"/>
          <w:color w:val="000000"/>
          <w:sz w:val="19"/>
          <w:szCs w:val="19"/>
        </w:rPr>
        <w:t>y</w:t>
      </w:r>
      <w:r w:rsidR="000666B0" w:rsidRPr="00AE35C1">
        <w:rPr>
          <w:i w:val="0"/>
          <w:color w:val="000000"/>
          <w:sz w:val="19"/>
          <w:szCs w:val="19"/>
        </w:rPr>
        <w:t xml:space="preserve"> 63 </w:t>
      </w:r>
      <w:r w:rsidR="00F22AAD" w:rsidRPr="00AE35C1">
        <w:rPr>
          <w:i w:val="0"/>
          <w:color w:val="000000"/>
          <w:sz w:val="19"/>
          <w:szCs w:val="19"/>
        </w:rPr>
        <w:t>przedsię</w:t>
      </w:r>
      <w:r w:rsidRPr="00AE35C1">
        <w:rPr>
          <w:i w:val="0"/>
          <w:color w:val="000000"/>
          <w:sz w:val="19"/>
          <w:szCs w:val="19"/>
        </w:rPr>
        <w:t>biorstwa deklarujące zatrudnienie powyżej 1000 osób (8,3% tej wielkości podmiotów w kraju).</w:t>
      </w:r>
    </w:p>
    <w:p w:rsidR="00E7427F" w:rsidRPr="00AE35C1" w:rsidRDefault="00E7427F" w:rsidP="00E7427F">
      <w:pPr>
        <w:autoSpaceDE w:val="0"/>
        <w:autoSpaceDN w:val="0"/>
        <w:adjustRightInd w:val="0"/>
        <w:spacing w:after="120" w:line="288" w:lineRule="auto"/>
        <w:jc w:val="both"/>
        <w:rPr>
          <w:rFonts w:cs="Arial"/>
          <w:color w:val="000000"/>
          <w:sz w:val="19"/>
          <w:szCs w:val="19"/>
        </w:rPr>
      </w:pPr>
      <w:r w:rsidRPr="00AE35C1">
        <w:rPr>
          <w:rFonts w:cs="Arial"/>
          <w:color w:val="000000"/>
          <w:sz w:val="19"/>
          <w:szCs w:val="19"/>
        </w:rPr>
        <w:t xml:space="preserve">Pod względem </w:t>
      </w:r>
      <w:r w:rsidRPr="00AE35C1">
        <w:rPr>
          <w:rFonts w:cs="Arial"/>
          <w:b/>
          <w:color w:val="000000"/>
          <w:sz w:val="19"/>
          <w:szCs w:val="19"/>
        </w:rPr>
        <w:t>struktury branżowej</w:t>
      </w:r>
      <w:r w:rsidRPr="00AE35C1">
        <w:rPr>
          <w:rFonts w:cs="Arial"/>
          <w:color w:val="000000"/>
          <w:sz w:val="19"/>
          <w:szCs w:val="19"/>
        </w:rPr>
        <w:t xml:space="preserve"> największa liczba dolnośląskich przedsiębiorstw prowadziła działalność gospodarczą w handlu hurtowym i detalicznym oraz naprawie pojazdów samochodowych (23,2%). Natomiast w 2016 roku nowe podmioty rejestrowane były głównie w sekcjach: handel, naprawa pojazdów </w:t>
      </w:r>
      <w:r w:rsidRPr="00AE35C1">
        <w:rPr>
          <w:rFonts w:cs="Arial"/>
          <w:color w:val="000000"/>
          <w:sz w:val="19"/>
          <w:szCs w:val="19"/>
        </w:rPr>
        <w:lastRenderedPageBreak/>
        <w:t>samochodowych, budownictwo oraz działalność profesjonalna, naukowa i</w:t>
      </w:r>
      <w:r>
        <w:rPr>
          <w:rFonts w:cs="Arial"/>
          <w:color w:val="000000"/>
          <w:sz w:val="19"/>
          <w:szCs w:val="19"/>
        </w:rPr>
        <w:t> </w:t>
      </w:r>
      <w:r w:rsidRPr="00AE35C1">
        <w:rPr>
          <w:rFonts w:cs="Arial"/>
          <w:color w:val="000000"/>
          <w:sz w:val="19"/>
          <w:szCs w:val="19"/>
        </w:rPr>
        <w:t>techniczna.</w:t>
      </w:r>
    </w:p>
    <w:p w:rsidR="00A90152" w:rsidRPr="00AE35C1" w:rsidRDefault="00A90152" w:rsidP="00E7427F">
      <w:pPr>
        <w:pStyle w:val="MAPA"/>
        <w:spacing w:before="300" w:line="288" w:lineRule="auto"/>
      </w:pPr>
      <w:r w:rsidRPr="00AE35C1">
        <w:t>MAPA 2</w:t>
      </w:r>
      <w:r w:rsidR="004964B3">
        <w:t>4</w:t>
      </w:r>
      <w:r w:rsidRPr="00AE35C1">
        <w:t>. Liczba podmiotów gospodarKI NARODOWEJ wpisanych do rejestru regon na</w:t>
      </w:r>
      <w:r w:rsidR="004931A8" w:rsidRPr="00AE35C1">
        <w:t> </w:t>
      </w:r>
      <w:r w:rsidRPr="00AE35C1">
        <w:t>10</w:t>
      </w:r>
      <w:r w:rsidR="004931A8" w:rsidRPr="00AE35C1">
        <w:t xml:space="preserve"> tys. mieszkańców </w:t>
      </w:r>
      <w:r w:rsidR="00C960D1" w:rsidRPr="00AE35C1">
        <w:br/>
      </w:r>
      <w:r w:rsidR="004931A8" w:rsidRPr="00AE35C1">
        <w:t xml:space="preserve">w </w:t>
      </w:r>
      <w:r w:rsidRPr="00AE35C1">
        <w:t>powiatach województwa dolnośląs</w:t>
      </w:r>
      <w:r w:rsidR="00D20F69" w:rsidRPr="00AE35C1">
        <w:t>kiego [2016]</w:t>
      </w:r>
      <w:r w:rsidRPr="00AE35C1">
        <w:t xml:space="preserve"> </w:t>
      </w:r>
    </w:p>
    <w:p w:rsidR="00A90152" w:rsidRPr="00AE35C1" w:rsidRDefault="0055701D" w:rsidP="005F49A2">
      <w:pPr>
        <w:spacing w:after="60" w:line="288" w:lineRule="auto"/>
        <w:ind w:hanging="142"/>
        <w:jc w:val="center"/>
        <w:rPr>
          <w:color w:val="000000"/>
        </w:rPr>
      </w:pPr>
      <w:r>
        <w:rPr>
          <w:noProof/>
          <w:color w:val="000000"/>
          <w:lang w:eastAsia="pl-PL"/>
        </w:rPr>
        <w:drawing>
          <wp:inline distT="0" distB="0" distL="0" distR="0">
            <wp:extent cx="2781300" cy="2600325"/>
            <wp:effectExtent l="19050" t="0" r="0" b="0"/>
            <wp:docPr id="27"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8"/>
                    <pic:cNvPicPr>
                      <a:picLocks noChangeAspect="1" noChangeArrowheads="1"/>
                    </pic:cNvPicPr>
                  </pic:nvPicPr>
                  <pic:blipFill>
                    <a:blip r:embed="rId58" cstate="print"/>
                    <a:srcRect/>
                    <a:stretch>
                      <a:fillRect/>
                    </a:stretch>
                  </pic:blipFill>
                  <pic:spPr bwMode="auto">
                    <a:xfrm>
                      <a:off x="0" y="0"/>
                      <a:ext cx="2781300" cy="2600325"/>
                    </a:xfrm>
                    <a:prstGeom prst="rect">
                      <a:avLst/>
                    </a:prstGeom>
                    <a:noFill/>
                    <a:ln w="9525">
                      <a:noFill/>
                      <a:miter lim="800000"/>
                      <a:headEnd/>
                      <a:tailEnd/>
                    </a:ln>
                  </pic:spPr>
                </pic:pic>
              </a:graphicData>
            </a:graphic>
          </wp:inline>
        </w:drawing>
      </w:r>
    </w:p>
    <w:p w:rsidR="00A90152" w:rsidRPr="00AE35C1" w:rsidRDefault="00A90152" w:rsidP="005F49A2">
      <w:pPr>
        <w:pStyle w:val="RDO"/>
        <w:spacing w:line="288" w:lineRule="auto"/>
        <w:rPr>
          <w:color w:val="000000"/>
        </w:rPr>
      </w:pPr>
      <w:r w:rsidRPr="00AE35C1">
        <w:rPr>
          <w:color w:val="000000"/>
        </w:rPr>
        <w:t>Źródło: opracowanie własne na podstawie danych GUS.</w:t>
      </w:r>
    </w:p>
    <w:p w:rsidR="00F22AAD" w:rsidRPr="00AE35C1" w:rsidRDefault="00156E3A" w:rsidP="00F22AAD">
      <w:pPr>
        <w:pStyle w:val="RDO"/>
        <w:spacing w:line="288" w:lineRule="auto"/>
        <w:rPr>
          <w:rFonts w:eastAsia="Calibri"/>
          <w:i w:val="0"/>
          <w:color w:val="000000"/>
          <w:sz w:val="19"/>
          <w:szCs w:val="19"/>
        </w:rPr>
      </w:pPr>
      <w:r w:rsidRPr="00AE35C1">
        <w:rPr>
          <w:rFonts w:eastAsia="Calibri"/>
          <w:i w:val="0"/>
          <w:color w:val="000000"/>
          <w:sz w:val="19"/>
          <w:szCs w:val="19"/>
        </w:rPr>
        <w:t>Ponadto w 2016 roku w regionie d</w:t>
      </w:r>
      <w:r w:rsidR="00F22AAD" w:rsidRPr="00AE35C1">
        <w:rPr>
          <w:rFonts w:eastAsia="Calibri"/>
          <w:i w:val="0"/>
          <w:color w:val="000000"/>
          <w:sz w:val="19"/>
          <w:szCs w:val="19"/>
        </w:rPr>
        <w:t xml:space="preserve">ziałalność gospodarczą prowadzi 234,6 tys. </w:t>
      </w:r>
      <w:r w:rsidR="00F22AAD" w:rsidRPr="00AE35C1">
        <w:rPr>
          <w:rFonts w:eastAsia="Calibri"/>
          <w:b/>
          <w:i w:val="0"/>
          <w:color w:val="000000"/>
          <w:sz w:val="19"/>
          <w:szCs w:val="19"/>
        </w:rPr>
        <w:t>osób fizycznych</w:t>
      </w:r>
      <w:r w:rsidR="00E26B95" w:rsidRPr="00AE35C1">
        <w:rPr>
          <w:rFonts w:eastAsia="Calibri"/>
          <w:b/>
          <w:i w:val="0"/>
          <w:color w:val="000000"/>
          <w:sz w:val="19"/>
          <w:szCs w:val="19"/>
        </w:rPr>
        <w:t xml:space="preserve">. </w:t>
      </w:r>
      <w:r w:rsidR="00E26B95" w:rsidRPr="00AE35C1">
        <w:rPr>
          <w:rFonts w:eastAsia="Calibri"/>
          <w:i w:val="0"/>
          <w:color w:val="000000"/>
          <w:sz w:val="19"/>
          <w:szCs w:val="19"/>
        </w:rPr>
        <w:t>W</w:t>
      </w:r>
      <w:r w:rsidR="002949AC">
        <w:rPr>
          <w:rFonts w:eastAsia="Calibri"/>
          <w:i w:val="0"/>
          <w:color w:val="000000"/>
          <w:sz w:val="19"/>
          <w:szCs w:val="19"/>
        </w:rPr>
        <w:t> </w:t>
      </w:r>
      <w:r w:rsidR="00E26B95" w:rsidRPr="00AE35C1">
        <w:rPr>
          <w:rFonts w:eastAsia="Calibri"/>
          <w:i w:val="0"/>
          <w:color w:val="000000"/>
          <w:sz w:val="19"/>
          <w:szCs w:val="19"/>
        </w:rPr>
        <w:t>przeliczeniu na 1000 mieszkańców liczba osób fizycznych prowadzących działalność gospodarczą w</w:t>
      </w:r>
      <w:r w:rsidR="002949AC">
        <w:rPr>
          <w:rFonts w:eastAsia="Calibri"/>
          <w:i w:val="0"/>
          <w:color w:val="000000"/>
          <w:sz w:val="19"/>
          <w:szCs w:val="19"/>
        </w:rPr>
        <w:t> </w:t>
      </w:r>
      <w:r w:rsidR="00E26B95" w:rsidRPr="00AE35C1">
        <w:rPr>
          <w:rFonts w:eastAsia="Calibri"/>
          <w:i w:val="0"/>
          <w:color w:val="000000"/>
          <w:sz w:val="19"/>
          <w:szCs w:val="19"/>
        </w:rPr>
        <w:t>województwie dolnośląskim (81) przewyższała średnią w kraju (77).</w:t>
      </w:r>
    </w:p>
    <w:p w:rsidR="00D756E6" w:rsidRPr="00AE35C1" w:rsidRDefault="00D756E6" w:rsidP="008B25D6">
      <w:pPr>
        <w:autoSpaceDE w:val="0"/>
        <w:autoSpaceDN w:val="0"/>
        <w:adjustRightInd w:val="0"/>
        <w:spacing w:after="120" w:line="288" w:lineRule="auto"/>
        <w:jc w:val="both"/>
        <w:rPr>
          <w:rFonts w:cs="Calibri"/>
          <w:sz w:val="19"/>
          <w:szCs w:val="19"/>
        </w:rPr>
      </w:pPr>
      <w:r w:rsidRPr="00AE35C1">
        <w:rPr>
          <w:rFonts w:cs="Calibri"/>
          <w:color w:val="000000"/>
          <w:sz w:val="19"/>
          <w:szCs w:val="19"/>
        </w:rPr>
        <w:t xml:space="preserve">Pod względem natężenia strumienia „narodzin” </w:t>
      </w:r>
      <w:r w:rsidR="00C14295" w:rsidRPr="00AE35C1">
        <w:rPr>
          <w:rFonts w:cs="Calibri"/>
          <w:color w:val="000000"/>
          <w:sz w:val="19"/>
          <w:szCs w:val="19"/>
        </w:rPr>
        <w:t xml:space="preserve">przedsiębiorstw </w:t>
      </w:r>
      <w:r w:rsidRPr="00AE35C1">
        <w:rPr>
          <w:rFonts w:cs="Calibri"/>
          <w:color w:val="000000"/>
          <w:sz w:val="19"/>
          <w:szCs w:val="19"/>
        </w:rPr>
        <w:t xml:space="preserve">województwo dolnośląskie plasowało się w </w:t>
      </w:r>
      <w:r w:rsidR="004725E5" w:rsidRPr="00AE35C1">
        <w:rPr>
          <w:rFonts w:cs="Calibri"/>
          <w:color w:val="000000"/>
          <w:sz w:val="19"/>
          <w:szCs w:val="19"/>
        </w:rPr>
        <w:t xml:space="preserve">2016 roku na </w:t>
      </w:r>
      <w:r w:rsidR="008B25D6" w:rsidRPr="00AE35C1">
        <w:rPr>
          <w:rFonts w:cs="Calibri"/>
          <w:color w:val="000000"/>
          <w:sz w:val="19"/>
          <w:szCs w:val="19"/>
        </w:rPr>
        <w:t>4. </w:t>
      </w:r>
      <w:r w:rsidR="004725E5" w:rsidRPr="00AE35C1">
        <w:rPr>
          <w:rFonts w:cs="Calibri"/>
          <w:color w:val="000000"/>
          <w:sz w:val="19"/>
          <w:szCs w:val="19"/>
        </w:rPr>
        <w:t>miejscu w kraju</w:t>
      </w:r>
      <w:r w:rsidRPr="00AE35C1">
        <w:rPr>
          <w:rFonts w:cs="Calibri"/>
          <w:color w:val="000000"/>
          <w:sz w:val="19"/>
          <w:szCs w:val="19"/>
        </w:rPr>
        <w:t>. Skłonność do zakładania własnej działalności gospodarczej wzrosła w</w:t>
      </w:r>
      <w:r w:rsidR="002949AC">
        <w:rPr>
          <w:rFonts w:cs="Calibri"/>
          <w:color w:val="000000"/>
          <w:sz w:val="19"/>
          <w:szCs w:val="19"/>
        </w:rPr>
        <w:t> </w:t>
      </w:r>
      <w:r w:rsidRPr="00AE35C1">
        <w:rPr>
          <w:rFonts w:cs="Calibri"/>
          <w:color w:val="000000"/>
          <w:sz w:val="19"/>
          <w:szCs w:val="19"/>
        </w:rPr>
        <w:t>działach: działalność związana z</w:t>
      </w:r>
      <w:r w:rsidR="008B25D6" w:rsidRPr="00AE35C1">
        <w:rPr>
          <w:rFonts w:cs="Calibri"/>
          <w:color w:val="000000"/>
          <w:sz w:val="19"/>
          <w:szCs w:val="19"/>
        </w:rPr>
        <w:t xml:space="preserve"> </w:t>
      </w:r>
      <w:r w:rsidRPr="00AE35C1">
        <w:rPr>
          <w:rFonts w:cs="Calibri"/>
          <w:color w:val="000000"/>
          <w:sz w:val="19"/>
          <w:szCs w:val="19"/>
        </w:rPr>
        <w:t>oprogramowaniem, działalność firm centralnych (</w:t>
      </w:r>
      <w:proofErr w:type="spellStart"/>
      <w:r w:rsidRPr="00AE35C1">
        <w:rPr>
          <w:rFonts w:cs="Calibri"/>
          <w:i/>
          <w:iCs/>
          <w:color w:val="000000"/>
          <w:sz w:val="19"/>
          <w:szCs w:val="19"/>
        </w:rPr>
        <w:t>head</w:t>
      </w:r>
      <w:proofErr w:type="spellEnd"/>
      <w:r w:rsidR="004725E5" w:rsidRPr="00AE35C1">
        <w:rPr>
          <w:rFonts w:cs="Calibri"/>
          <w:i/>
          <w:iCs/>
          <w:color w:val="000000"/>
          <w:sz w:val="19"/>
          <w:szCs w:val="19"/>
        </w:rPr>
        <w:t xml:space="preserve"> </w:t>
      </w:r>
      <w:proofErr w:type="spellStart"/>
      <w:r w:rsidRPr="00AE35C1">
        <w:rPr>
          <w:rFonts w:cs="Calibri"/>
          <w:i/>
          <w:iCs/>
          <w:color w:val="000000"/>
          <w:sz w:val="19"/>
          <w:szCs w:val="19"/>
        </w:rPr>
        <w:t>offices</w:t>
      </w:r>
      <w:proofErr w:type="spellEnd"/>
      <w:r w:rsidR="008B25D6" w:rsidRPr="00AE35C1">
        <w:rPr>
          <w:rFonts w:cs="Calibri"/>
          <w:color w:val="000000"/>
          <w:sz w:val="19"/>
          <w:szCs w:val="19"/>
        </w:rPr>
        <w:t>)</w:t>
      </w:r>
      <w:r w:rsidR="00156E3A" w:rsidRPr="00AE35C1">
        <w:rPr>
          <w:rFonts w:cs="Calibri"/>
          <w:color w:val="000000"/>
          <w:sz w:val="19"/>
          <w:szCs w:val="19"/>
        </w:rPr>
        <w:t>,</w:t>
      </w:r>
      <w:r w:rsidR="008B25D6" w:rsidRPr="00AE35C1">
        <w:rPr>
          <w:rFonts w:cs="Calibri"/>
          <w:color w:val="000000"/>
          <w:sz w:val="19"/>
          <w:szCs w:val="19"/>
        </w:rPr>
        <w:t xml:space="preserve"> doradz</w:t>
      </w:r>
      <w:r w:rsidRPr="00AE35C1">
        <w:rPr>
          <w:rFonts w:cs="Calibri"/>
          <w:color w:val="000000"/>
          <w:sz w:val="19"/>
          <w:szCs w:val="19"/>
        </w:rPr>
        <w:t>two związane z</w:t>
      </w:r>
      <w:r w:rsidR="004725E5" w:rsidRPr="00AE35C1">
        <w:rPr>
          <w:rFonts w:cs="Calibri"/>
          <w:color w:val="000000"/>
          <w:sz w:val="19"/>
          <w:szCs w:val="19"/>
        </w:rPr>
        <w:t> </w:t>
      </w:r>
      <w:r w:rsidRPr="00AE35C1">
        <w:rPr>
          <w:rFonts w:cs="Calibri"/>
          <w:color w:val="000000"/>
          <w:sz w:val="19"/>
          <w:szCs w:val="19"/>
        </w:rPr>
        <w:t>zarządzaniem, działalność związana z</w:t>
      </w:r>
      <w:r w:rsidR="002949AC">
        <w:rPr>
          <w:rFonts w:cs="Calibri"/>
          <w:color w:val="000000"/>
          <w:sz w:val="19"/>
          <w:szCs w:val="19"/>
        </w:rPr>
        <w:t> </w:t>
      </w:r>
      <w:r w:rsidRPr="00AE35C1">
        <w:rPr>
          <w:rFonts w:cs="Calibri"/>
          <w:color w:val="000000"/>
          <w:sz w:val="19"/>
          <w:szCs w:val="19"/>
        </w:rPr>
        <w:t>administracyjną obsługą biura.</w:t>
      </w:r>
    </w:p>
    <w:p w:rsidR="00191A1B" w:rsidRDefault="00120D2B" w:rsidP="005B6122">
      <w:pPr>
        <w:spacing w:before="120" w:after="120" w:line="288" w:lineRule="auto"/>
        <w:jc w:val="both"/>
        <w:rPr>
          <w:rFonts w:cs="Arial"/>
          <w:color w:val="000000"/>
          <w:sz w:val="19"/>
          <w:szCs w:val="19"/>
        </w:rPr>
      </w:pPr>
      <w:r w:rsidRPr="00AE35C1">
        <w:rPr>
          <w:rFonts w:cs="Arial"/>
          <w:color w:val="000000"/>
          <w:sz w:val="19"/>
          <w:szCs w:val="19"/>
        </w:rPr>
        <w:t xml:space="preserve">W województwie dolnośląskim funkcjonuje kilkadziesiąt </w:t>
      </w:r>
      <w:r w:rsidRPr="00AE35C1">
        <w:rPr>
          <w:rFonts w:cs="Arial"/>
          <w:b/>
          <w:color w:val="000000"/>
          <w:sz w:val="19"/>
          <w:szCs w:val="19"/>
        </w:rPr>
        <w:t>instytucji i firm otoczenia biznesu</w:t>
      </w:r>
      <w:r w:rsidRPr="00AE35C1">
        <w:rPr>
          <w:rFonts w:cs="Arial"/>
          <w:color w:val="000000"/>
          <w:sz w:val="19"/>
          <w:szCs w:val="19"/>
        </w:rPr>
        <w:t xml:space="preserve">, które stanowią wsparcie dla przedsiębiorców m.in. w procesie tworzenia, prowadzenia i rozwoju firmy, w zakresie szkoleń, doradztwa, wdrażania projektów opartych na nowoczesnych technologiach, usług </w:t>
      </w:r>
      <w:proofErr w:type="spellStart"/>
      <w:r w:rsidRPr="00AE35C1">
        <w:rPr>
          <w:rFonts w:cs="Arial"/>
          <w:color w:val="000000"/>
          <w:sz w:val="19"/>
          <w:szCs w:val="19"/>
        </w:rPr>
        <w:t>B+R</w:t>
      </w:r>
      <w:proofErr w:type="spellEnd"/>
      <w:r w:rsidRPr="00AE35C1">
        <w:rPr>
          <w:rFonts w:cs="Arial"/>
          <w:color w:val="000000"/>
          <w:sz w:val="19"/>
          <w:szCs w:val="19"/>
        </w:rPr>
        <w:t xml:space="preserve"> itp. Szczególnie istotną rolę odgrywają instytucje wspierające przedsiębiorczość, rozwiązania proinwestycyjne, ko</w:t>
      </w:r>
      <w:r w:rsidR="00731209" w:rsidRPr="00AE35C1">
        <w:rPr>
          <w:rFonts w:cs="Arial"/>
          <w:color w:val="000000"/>
          <w:sz w:val="19"/>
          <w:szCs w:val="19"/>
        </w:rPr>
        <w:t>mercjalizacje badań naukowych i </w:t>
      </w:r>
      <w:r w:rsidRPr="00AE35C1">
        <w:rPr>
          <w:rFonts w:cs="Arial"/>
          <w:color w:val="000000"/>
          <w:sz w:val="19"/>
          <w:szCs w:val="19"/>
        </w:rPr>
        <w:t>innowacyjność przedsiębiorstw, do których zalicza się: parki technologiczne, naukowe i naukowo-</w:t>
      </w:r>
      <w:r w:rsidRPr="00AE35C1">
        <w:rPr>
          <w:rFonts w:cs="Arial"/>
          <w:color w:val="000000"/>
          <w:sz w:val="19"/>
          <w:szCs w:val="19"/>
        </w:rPr>
        <w:lastRenderedPageBreak/>
        <w:t>technologiczne</w:t>
      </w:r>
      <w:r w:rsidRPr="00AE35C1">
        <w:rPr>
          <w:rStyle w:val="Odwoanieprzypisudolnego"/>
          <w:rFonts w:cs="Arial"/>
          <w:color w:val="000000"/>
          <w:sz w:val="19"/>
          <w:szCs w:val="19"/>
        </w:rPr>
        <w:footnoteReference w:id="5"/>
      </w:r>
      <w:r w:rsidRPr="00AE35C1">
        <w:rPr>
          <w:rFonts w:cs="Arial"/>
          <w:color w:val="000000"/>
          <w:sz w:val="19"/>
          <w:szCs w:val="19"/>
        </w:rPr>
        <w:t>, centra transferu technologii</w:t>
      </w:r>
      <w:r w:rsidRPr="00AE35C1">
        <w:rPr>
          <w:rStyle w:val="Odwoanieprzypisudolnego"/>
          <w:rFonts w:cs="Arial"/>
          <w:color w:val="000000"/>
          <w:sz w:val="19"/>
          <w:szCs w:val="19"/>
        </w:rPr>
        <w:footnoteReference w:id="6"/>
      </w:r>
      <w:r w:rsidRPr="00AE35C1">
        <w:rPr>
          <w:rFonts w:cs="Arial"/>
          <w:color w:val="000000"/>
          <w:sz w:val="19"/>
          <w:szCs w:val="19"/>
        </w:rPr>
        <w:t xml:space="preserve">, </w:t>
      </w:r>
      <w:r w:rsidR="007A3F12" w:rsidRPr="00AE35C1">
        <w:rPr>
          <w:rFonts w:cs="Arial"/>
          <w:color w:val="000000"/>
          <w:sz w:val="19"/>
          <w:szCs w:val="19"/>
        </w:rPr>
        <w:t>agencje rozwoju regionalnego</w:t>
      </w:r>
      <w:r w:rsidR="007A3F12" w:rsidRPr="00AE35C1">
        <w:rPr>
          <w:rStyle w:val="Odwoanieprzypisudolnego"/>
          <w:rFonts w:cs="Arial"/>
          <w:color w:val="000000"/>
          <w:sz w:val="19"/>
          <w:szCs w:val="19"/>
        </w:rPr>
        <w:footnoteReference w:id="7"/>
      </w:r>
      <w:r w:rsidR="007A3F12" w:rsidRPr="00AE35C1">
        <w:rPr>
          <w:rFonts w:cs="Arial"/>
          <w:color w:val="000000"/>
          <w:sz w:val="19"/>
          <w:szCs w:val="19"/>
        </w:rPr>
        <w:t xml:space="preserve">, </w:t>
      </w:r>
      <w:r w:rsidR="00731209" w:rsidRPr="00AE35C1">
        <w:rPr>
          <w:rFonts w:cs="Arial"/>
          <w:color w:val="000000"/>
          <w:sz w:val="19"/>
          <w:szCs w:val="19"/>
        </w:rPr>
        <w:t>inkubatory technologiczne i </w:t>
      </w:r>
      <w:r w:rsidRPr="00AE35C1">
        <w:rPr>
          <w:rFonts w:cs="Arial"/>
          <w:color w:val="000000"/>
          <w:sz w:val="19"/>
          <w:szCs w:val="19"/>
        </w:rPr>
        <w:t>inkubatory przedsiębiorczości</w:t>
      </w:r>
      <w:r w:rsidRPr="00AE35C1">
        <w:rPr>
          <w:rStyle w:val="Odwoanieprzypisudolnego"/>
          <w:rFonts w:cs="Arial"/>
          <w:color w:val="000000"/>
          <w:sz w:val="19"/>
          <w:szCs w:val="19"/>
        </w:rPr>
        <w:footnoteReference w:id="8"/>
      </w:r>
      <w:r w:rsidRPr="00AE35C1">
        <w:rPr>
          <w:rFonts w:cs="Arial"/>
          <w:color w:val="000000"/>
          <w:sz w:val="19"/>
          <w:szCs w:val="19"/>
        </w:rPr>
        <w:t>.</w:t>
      </w:r>
    </w:p>
    <w:p w:rsidR="005B6122" w:rsidRPr="00AE35C1" w:rsidRDefault="005B6122" w:rsidP="005B6122">
      <w:pPr>
        <w:spacing w:before="120" w:after="120" w:line="288" w:lineRule="auto"/>
        <w:jc w:val="both"/>
        <w:rPr>
          <w:rFonts w:cs="Arial"/>
          <w:color w:val="000000"/>
          <w:sz w:val="19"/>
          <w:szCs w:val="19"/>
        </w:rPr>
      </w:pPr>
      <w:r w:rsidRPr="00AE35C1">
        <w:rPr>
          <w:rFonts w:cs="Arial"/>
          <w:color w:val="000000"/>
          <w:sz w:val="19"/>
          <w:szCs w:val="19"/>
        </w:rPr>
        <w:t xml:space="preserve">W 2015 roku w województwie funkcjonowały 304 </w:t>
      </w:r>
      <w:r w:rsidRPr="00AE35C1">
        <w:rPr>
          <w:rFonts w:cs="Arial"/>
          <w:b/>
          <w:color w:val="000000"/>
          <w:sz w:val="19"/>
          <w:szCs w:val="19"/>
        </w:rPr>
        <w:t>jednostki badawczo</w:t>
      </w:r>
      <w:r w:rsidR="0071313D" w:rsidRPr="00AE35C1">
        <w:rPr>
          <w:rFonts w:cs="Arial"/>
          <w:b/>
          <w:color w:val="000000"/>
          <w:sz w:val="19"/>
          <w:szCs w:val="19"/>
        </w:rPr>
        <w:t>-rozwojowe</w:t>
      </w:r>
      <w:r w:rsidRPr="00AE35C1">
        <w:rPr>
          <w:rFonts w:cs="Arial"/>
          <w:color w:val="000000"/>
          <w:sz w:val="19"/>
          <w:szCs w:val="19"/>
        </w:rPr>
        <w:t xml:space="preserve"> (255 jednostek pochodziło z sektora przedsiębiorstw). Od 2010 roku do 2015 roku zaobserwowano dynamiczny wzrost liczby podmiotów działających w obszarze badań naukowych i</w:t>
      </w:r>
      <w:r w:rsidR="00486601" w:rsidRPr="00AE35C1">
        <w:rPr>
          <w:rFonts w:cs="Arial"/>
          <w:color w:val="000000"/>
          <w:sz w:val="19"/>
          <w:szCs w:val="19"/>
        </w:rPr>
        <w:t> </w:t>
      </w:r>
      <w:r w:rsidRPr="00AE35C1">
        <w:rPr>
          <w:rFonts w:cs="Arial"/>
          <w:color w:val="000000"/>
          <w:sz w:val="19"/>
          <w:szCs w:val="19"/>
        </w:rPr>
        <w:t xml:space="preserve">prac rozwojowych (zmiana wynosząca 108% wartości bazowej z 2010 roku). W tym samym czasie zwiększył się także udział osób zatrudnionych w </w:t>
      </w:r>
      <w:proofErr w:type="spellStart"/>
      <w:r w:rsidRPr="00AE35C1">
        <w:rPr>
          <w:rFonts w:cs="Arial"/>
          <w:color w:val="000000"/>
          <w:sz w:val="19"/>
          <w:szCs w:val="19"/>
        </w:rPr>
        <w:t>B+R</w:t>
      </w:r>
      <w:proofErr w:type="spellEnd"/>
      <w:r w:rsidRPr="00AE35C1">
        <w:rPr>
          <w:rFonts w:cs="Arial"/>
          <w:color w:val="000000"/>
          <w:sz w:val="19"/>
          <w:szCs w:val="19"/>
        </w:rPr>
        <w:t xml:space="preserve"> w liczbie osób pracujących ogółem z 0,75% do 1,05% i przewyższa średnią dla Polski o 0,08 punktu procentowego.</w:t>
      </w:r>
    </w:p>
    <w:p w:rsidR="00120D2B" w:rsidRPr="00AE35C1" w:rsidRDefault="00120D2B" w:rsidP="002949AC">
      <w:pPr>
        <w:pStyle w:val="MAPA"/>
        <w:spacing w:before="240" w:line="288" w:lineRule="auto"/>
        <w:jc w:val="both"/>
        <w:rPr>
          <w:iCs w:val="0"/>
        </w:rPr>
      </w:pPr>
      <w:r w:rsidRPr="00AE35C1">
        <w:t>MAPA 2</w:t>
      </w:r>
      <w:r w:rsidR="004964B3">
        <w:t>5</w:t>
      </w:r>
      <w:r w:rsidRPr="00AE35C1">
        <w:t>. Regionalne o</w:t>
      </w:r>
      <w:r w:rsidR="00605E4B" w:rsidRPr="00AE35C1">
        <w:t xml:space="preserve">siągnięcia w zakresie innowacyjności w regionach nuts2 </w:t>
      </w:r>
      <w:r w:rsidR="00C960D1" w:rsidRPr="00AE35C1">
        <w:br/>
      </w:r>
      <w:r w:rsidR="00605E4B" w:rsidRPr="00AE35C1">
        <w:t>w europie</w:t>
      </w:r>
      <w:r w:rsidR="00D20F69" w:rsidRPr="00AE35C1">
        <w:t xml:space="preserve"> [2017]</w:t>
      </w:r>
    </w:p>
    <w:p w:rsidR="00120D2B" w:rsidRPr="00AE35C1" w:rsidRDefault="002576FC" w:rsidP="00120D2B">
      <w:pPr>
        <w:spacing w:after="0" w:line="288" w:lineRule="auto"/>
        <w:jc w:val="center"/>
        <w:rPr>
          <w:color w:val="000000"/>
        </w:rPr>
      </w:pPr>
      <w:r w:rsidRPr="002576FC">
        <w:rPr>
          <w:noProof/>
          <w:color w:val="000000"/>
          <w:lang w:eastAsia="pl-PL"/>
        </w:rPr>
        <w:lastRenderedPageBreak/>
        <w:drawing>
          <wp:inline distT="0" distB="0" distL="0" distR="0">
            <wp:extent cx="2527935" cy="3511990"/>
            <wp:effectExtent l="0" t="0" r="5715" b="0"/>
            <wp:docPr id="92" name="Obraz 92" descr="P:\ PROJEKTY 2017\09 SRWD 2030\04_Grafika\jpg\UE\Mapa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 PROJEKTY 2017\09 SRWD 2030\04_Grafika\jpg\UE\Mapa 23.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5161" cy="3522029"/>
                    </a:xfrm>
                    <a:prstGeom prst="rect">
                      <a:avLst/>
                    </a:prstGeom>
                    <a:noFill/>
                    <a:ln>
                      <a:noFill/>
                    </a:ln>
                  </pic:spPr>
                </pic:pic>
              </a:graphicData>
            </a:graphic>
          </wp:inline>
        </w:drawing>
      </w:r>
    </w:p>
    <w:p w:rsidR="00120D2B" w:rsidRDefault="00DF7C1C" w:rsidP="00120D2B">
      <w:pPr>
        <w:pStyle w:val="RDO"/>
        <w:spacing w:line="288" w:lineRule="auto"/>
        <w:rPr>
          <w:color w:val="000000"/>
        </w:rPr>
      </w:pPr>
      <w:r w:rsidRPr="00D113CA">
        <w:rPr>
          <w:color w:val="000000"/>
        </w:rPr>
        <w:t xml:space="preserve">Źródło: </w:t>
      </w:r>
      <w:r w:rsidR="00905F49" w:rsidRPr="00606D71">
        <w:rPr>
          <w:color w:val="000000"/>
        </w:rPr>
        <w:t xml:space="preserve">Siódmy raport na temat spójności gospodarczej, społecznej </w:t>
      </w:r>
      <w:r w:rsidR="00905F49">
        <w:rPr>
          <w:color w:val="000000"/>
        </w:rPr>
        <w:t>i</w:t>
      </w:r>
      <w:r w:rsidR="00E7427F">
        <w:rPr>
          <w:color w:val="000000"/>
        </w:rPr>
        <w:t> </w:t>
      </w:r>
      <w:r w:rsidR="00905F49" w:rsidRPr="00606D71">
        <w:rPr>
          <w:color w:val="000000"/>
        </w:rPr>
        <w:t xml:space="preserve">terytorialnej, </w:t>
      </w:r>
      <w:r w:rsidRPr="00D113CA">
        <w:rPr>
          <w:color w:val="000000"/>
        </w:rPr>
        <w:t>2017.</w:t>
      </w:r>
    </w:p>
    <w:p w:rsidR="00E7427F" w:rsidRDefault="00E7427F" w:rsidP="00E7427F">
      <w:pPr>
        <w:spacing w:before="120" w:after="120" w:line="288" w:lineRule="auto"/>
        <w:jc w:val="both"/>
        <w:rPr>
          <w:rFonts w:cs="Arial"/>
          <w:color w:val="000000"/>
          <w:sz w:val="19"/>
          <w:szCs w:val="19"/>
        </w:rPr>
      </w:pPr>
      <w:r w:rsidRPr="00AE35C1">
        <w:rPr>
          <w:rFonts w:cs="Arial"/>
          <w:color w:val="000000"/>
          <w:sz w:val="19"/>
          <w:szCs w:val="19"/>
        </w:rPr>
        <w:t xml:space="preserve">Od 2012 do 2014 roku udział </w:t>
      </w:r>
      <w:r w:rsidRPr="00AE35C1">
        <w:rPr>
          <w:rFonts w:cs="Arial"/>
          <w:b/>
          <w:color w:val="000000"/>
          <w:sz w:val="19"/>
          <w:szCs w:val="19"/>
        </w:rPr>
        <w:t>innowacyjnych przedsiębiorstw przemysłowych</w:t>
      </w:r>
      <w:r w:rsidRPr="00AE35C1">
        <w:rPr>
          <w:rFonts w:cs="Arial"/>
          <w:color w:val="000000"/>
          <w:sz w:val="19"/>
          <w:szCs w:val="19"/>
        </w:rPr>
        <w:t xml:space="preserve"> Dolnego Śląska w liczbie wszystkich przedsiębiorstw w regionie był wyższy od średniej krajowej. W 2015 roku udział ten na Dolnym Śląsku (17,05%) obniżył się poniżej średniej krajowej (17,58%) i uplasował region na 8 pozycji w kraju po województwach: opolskim (21,52%), podlaskim (20,59%), małopolskim (20,43%), śląskim (19,58%), lubelskim (18,39%), podkarpackim (17,28%), mazowieckim (17,20%). </w:t>
      </w:r>
    </w:p>
    <w:p w:rsidR="00731209" w:rsidRPr="00AE35C1" w:rsidRDefault="00731209" w:rsidP="00731209">
      <w:pPr>
        <w:spacing w:before="120" w:after="120" w:line="288" w:lineRule="auto"/>
        <w:jc w:val="both"/>
        <w:rPr>
          <w:rFonts w:cs="Arial"/>
          <w:color w:val="000000"/>
          <w:sz w:val="19"/>
          <w:szCs w:val="19"/>
        </w:rPr>
      </w:pPr>
      <w:r w:rsidRPr="00AE35C1">
        <w:rPr>
          <w:rFonts w:cs="Arial"/>
          <w:color w:val="000000"/>
          <w:sz w:val="19"/>
          <w:szCs w:val="19"/>
        </w:rPr>
        <w:t xml:space="preserve">Szansą na rozwój innowacyjnych przedsiębiorstw jest koncentracja wsparcia publicznego na </w:t>
      </w:r>
      <w:r w:rsidRPr="00AE35C1">
        <w:rPr>
          <w:rFonts w:cs="Arial"/>
          <w:b/>
          <w:color w:val="000000"/>
          <w:sz w:val="19"/>
          <w:szCs w:val="19"/>
        </w:rPr>
        <w:t>regionalnych inteligentnych specjalizacjach</w:t>
      </w:r>
      <w:r w:rsidRPr="00AE35C1">
        <w:rPr>
          <w:rFonts w:cs="Arial"/>
          <w:color w:val="000000"/>
          <w:sz w:val="19"/>
          <w:szCs w:val="19"/>
        </w:rPr>
        <w:t>. Zarząd Województwa w dokumencie „Ramy Strategiczne na rzecz inteligentnych specjalizacji Dolnego Śląska” wskazał sześć kluczowych obszarów wraz z mechanizmami ich weryfikacji poprzez proces przedsiębiorczego odkrywania, który jest stałym dialogiem między władzą regionalną, sferą nauki i biznesem. Na liście dolnośląskich inteligentnych specjalizacji znalazły się: branża chemiczna i farmaceutyczna, mobilność przestrzenna, żywność wysokiej jakości, surowce naturalne i wtórne, produkcja maszyn i urządzeń, obróbka materiałów, technologie informacyjno – komunikacyjne (ICT).</w:t>
      </w:r>
    </w:p>
    <w:p w:rsidR="00731209" w:rsidRPr="00AE35C1" w:rsidRDefault="005B5388" w:rsidP="00731209">
      <w:pPr>
        <w:spacing w:line="288" w:lineRule="auto"/>
        <w:jc w:val="both"/>
        <w:rPr>
          <w:rFonts w:cs="Arial"/>
          <w:color w:val="000000"/>
          <w:sz w:val="19"/>
          <w:szCs w:val="19"/>
        </w:rPr>
      </w:pPr>
      <w:r w:rsidRPr="00AE35C1">
        <w:rPr>
          <w:rFonts w:cs="Arial"/>
          <w:color w:val="000000"/>
          <w:sz w:val="19"/>
          <w:szCs w:val="19"/>
        </w:rPr>
        <w:t xml:space="preserve">W 2015 roku </w:t>
      </w:r>
      <w:r w:rsidRPr="00AE35C1">
        <w:rPr>
          <w:rFonts w:cs="Arial"/>
          <w:b/>
          <w:color w:val="000000"/>
          <w:sz w:val="19"/>
          <w:szCs w:val="19"/>
        </w:rPr>
        <w:t>nakłady inwestycyjne</w:t>
      </w:r>
      <w:r w:rsidRPr="00AE35C1">
        <w:rPr>
          <w:rFonts w:cs="Arial"/>
          <w:color w:val="000000"/>
          <w:sz w:val="19"/>
          <w:szCs w:val="19"/>
        </w:rPr>
        <w:t xml:space="preserve"> ponoszone w  województwie dolnośląskim na działalność </w:t>
      </w:r>
      <w:proofErr w:type="spellStart"/>
      <w:r w:rsidRPr="00AE35C1">
        <w:rPr>
          <w:rFonts w:cs="Arial"/>
          <w:color w:val="000000"/>
          <w:sz w:val="19"/>
          <w:szCs w:val="19"/>
        </w:rPr>
        <w:t>B+R</w:t>
      </w:r>
      <w:proofErr w:type="spellEnd"/>
      <w:r w:rsidRPr="00AE35C1">
        <w:rPr>
          <w:rFonts w:cs="Arial"/>
          <w:color w:val="000000"/>
          <w:sz w:val="19"/>
          <w:szCs w:val="19"/>
        </w:rPr>
        <w:t xml:space="preserve"> </w:t>
      </w:r>
      <w:r w:rsidRPr="00AE35C1">
        <w:rPr>
          <w:rFonts w:cs="Arial"/>
          <w:color w:val="000000"/>
          <w:sz w:val="19"/>
          <w:szCs w:val="19"/>
        </w:rPr>
        <w:lastRenderedPageBreak/>
        <w:t>(435 003,5 tys. zł) plasowały region na 3. pozycji po województwach mazowieckim (1 630 099,7 tys.</w:t>
      </w:r>
      <w:r w:rsidR="00486601" w:rsidRPr="00AE35C1">
        <w:rPr>
          <w:rFonts w:cs="Arial"/>
          <w:color w:val="000000"/>
          <w:sz w:val="19"/>
          <w:szCs w:val="19"/>
        </w:rPr>
        <w:t> </w:t>
      </w:r>
      <w:r w:rsidRPr="00AE35C1">
        <w:rPr>
          <w:rFonts w:cs="Arial"/>
          <w:color w:val="000000"/>
          <w:sz w:val="19"/>
          <w:szCs w:val="19"/>
        </w:rPr>
        <w:t>zł) i małopolskim (575 476,2 tys. zł), niewiele przewyższając nakłady ponoszone na inwestycje przez województwo wielkopolskie (421 334,9 tys. zł). Największą dynamikę zmiany wysokości n</w:t>
      </w:r>
      <w:r w:rsidR="000666B0" w:rsidRPr="00AE35C1">
        <w:rPr>
          <w:rFonts w:cs="Arial"/>
          <w:color w:val="000000"/>
          <w:sz w:val="19"/>
          <w:szCs w:val="19"/>
        </w:rPr>
        <w:t>akładów inwestycyjnych poniesio</w:t>
      </w:r>
      <w:r w:rsidRPr="00AE35C1">
        <w:rPr>
          <w:rFonts w:cs="Arial"/>
          <w:color w:val="000000"/>
          <w:sz w:val="19"/>
          <w:szCs w:val="19"/>
        </w:rPr>
        <w:t xml:space="preserve">nych przez przedsiębiorstwa </w:t>
      </w:r>
      <w:r w:rsidR="00050BBF" w:rsidRPr="00AE35C1">
        <w:rPr>
          <w:rFonts w:cs="Arial"/>
          <w:color w:val="000000"/>
          <w:sz w:val="19"/>
          <w:szCs w:val="19"/>
        </w:rPr>
        <w:t>w latach 2010-2015</w:t>
      </w:r>
      <w:r w:rsidRPr="00AE35C1">
        <w:rPr>
          <w:rFonts w:cs="Arial"/>
          <w:color w:val="000000"/>
          <w:sz w:val="19"/>
          <w:szCs w:val="19"/>
        </w:rPr>
        <w:t xml:space="preserve"> odnotowano na terenie powiatów: głogowskiego (299%), trzebnickiego (248%), wołowskiego (211%), z</w:t>
      </w:r>
      <w:r w:rsidR="000666B0" w:rsidRPr="00AE35C1">
        <w:rPr>
          <w:rFonts w:cs="Arial"/>
          <w:color w:val="000000"/>
          <w:sz w:val="19"/>
          <w:szCs w:val="19"/>
        </w:rPr>
        <w:t>gorzelec</w:t>
      </w:r>
      <w:r w:rsidRPr="00AE35C1">
        <w:rPr>
          <w:rFonts w:cs="Arial"/>
          <w:color w:val="000000"/>
          <w:sz w:val="19"/>
          <w:szCs w:val="19"/>
        </w:rPr>
        <w:t>kiego i górowskiego (po 193%). Najmniejszą dynamikę ww. zmian zarejestrowano w powiatach: wałbrzyskim (</w:t>
      </w:r>
      <w:r w:rsidRPr="00AE35C1">
        <w:rPr>
          <w:rFonts w:cs="Arial"/>
          <w:color w:val="000000"/>
          <w:sz w:val="19"/>
          <w:szCs w:val="19"/>
        </w:rPr>
        <w:noBreakHyphen/>
        <w:t>83%), milickim (-79%), jeleniogórskim (</w:t>
      </w:r>
      <w:r w:rsidRPr="00AE35C1">
        <w:rPr>
          <w:rFonts w:cs="Arial"/>
          <w:color w:val="000000"/>
          <w:sz w:val="19"/>
          <w:szCs w:val="19"/>
        </w:rPr>
        <w:noBreakHyphen/>
        <w:t>42%), oławskim (12%) i kamiennogórskim (19%).</w:t>
      </w:r>
      <w:r w:rsidR="000A3E97" w:rsidRPr="00AE35C1">
        <w:rPr>
          <w:rFonts w:cs="Arial"/>
          <w:color w:val="000000"/>
          <w:sz w:val="19"/>
          <w:szCs w:val="19"/>
        </w:rPr>
        <w:t xml:space="preserve"> </w:t>
      </w:r>
      <w:r w:rsidR="000666B0" w:rsidRPr="00AE35C1">
        <w:rPr>
          <w:rFonts w:cs="Arial"/>
          <w:color w:val="000000"/>
          <w:sz w:val="19"/>
          <w:szCs w:val="19"/>
        </w:rPr>
        <w:t>W </w:t>
      </w:r>
      <w:r w:rsidR="001D40BA" w:rsidRPr="00AE35C1">
        <w:rPr>
          <w:rFonts w:cs="Arial"/>
          <w:color w:val="000000"/>
          <w:sz w:val="19"/>
          <w:szCs w:val="19"/>
        </w:rPr>
        <w:t>układach aglomeracyjnych</w:t>
      </w:r>
      <w:r w:rsidRPr="00AE35C1">
        <w:rPr>
          <w:rFonts w:cs="Arial"/>
          <w:color w:val="000000"/>
          <w:sz w:val="19"/>
          <w:szCs w:val="19"/>
        </w:rPr>
        <w:t xml:space="preserve"> największą dynamikę zmian </w:t>
      </w:r>
      <w:r w:rsidR="00836509" w:rsidRPr="00AE35C1">
        <w:rPr>
          <w:rFonts w:cs="Arial"/>
          <w:color w:val="000000"/>
          <w:sz w:val="19"/>
          <w:szCs w:val="19"/>
        </w:rPr>
        <w:t>w </w:t>
      </w:r>
      <w:r w:rsidR="000A3E97" w:rsidRPr="00AE35C1">
        <w:rPr>
          <w:rFonts w:cs="Arial"/>
          <w:color w:val="000000"/>
          <w:sz w:val="19"/>
          <w:szCs w:val="19"/>
        </w:rPr>
        <w:t>analizowanym okresie</w:t>
      </w:r>
      <w:r w:rsidR="001D40BA" w:rsidRPr="00AE35C1">
        <w:rPr>
          <w:rFonts w:cs="Arial"/>
          <w:color w:val="000000"/>
          <w:sz w:val="19"/>
          <w:szCs w:val="19"/>
        </w:rPr>
        <w:t xml:space="preserve"> </w:t>
      </w:r>
      <w:r w:rsidRPr="00AE35C1">
        <w:rPr>
          <w:rFonts w:cs="Arial"/>
          <w:color w:val="000000"/>
          <w:sz w:val="19"/>
          <w:szCs w:val="19"/>
        </w:rPr>
        <w:t>zao</w:t>
      </w:r>
      <w:r w:rsidR="001D40BA" w:rsidRPr="00AE35C1">
        <w:rPr>
          <w:rFonts w:cs="Arial"/>
          <w:color w:val="000000"/>
          <w:sz w:val="19"/>
          <w:szCs w:val="19"/>
        </w:rPr>
        <w:t xml:space="preserve">bserwowano </w:t>
      </w:r>
      <w:r w:rsidR="009918E9" w:rsidRPr="00AE35C1">
        <w:rPr>
          <w:rFonts w:cs="Arial"/>
          <w:color w:val="000000"/>
          <w:sz w:val="19"/>
          <w:szCs w:val="19"/>
        </w:rPr>
        <w:t>na </w:t>
      </w:r>
      <w:r w:rsidRPr="00AE35C1">
        <w:rPr>
          <w:rFonts w:cs="Arial"/>
          <w:color w:val="000000"/>
          <w:sz w:val="19"/>
          <w:szCs w:val="19"/>
        </w:rPr>
        <w:t xml:space="preserve">terenie </w:t>
      </w:r>
      <w:r w:rsidR="0009332D" w:rsidRPr="00AE35C1">
        <w:rPr>
          <w:rFonts w:cs="Arial"/>
          <w:color w:val="000000"/>
          <w:sz w:val="19"/>
          <w:szCs w:val="19"/>
        </w:rPr>
        <w:t>a</w:t>
      </w:r>
      <w:r w:rsidRPr="00AE35C1">
        <w:rPr>
          <w:rFonts w:cs="Arial"/>
          <w:color w:val="000000"/>
          <w:sz w:val="19"/>
          <w:szCs w:val="19"/>
        </w:rPr>
        <w:t xml:space="preserve">glomeracji </w:t>
      </w:r>
      <w:r w:rsidR="0009332D" w:rsidRPr="00AE35C1">
        <w:rPr>
          <w:rFonts w:cs="Arial"/>
          <w:color w:val="000000"/>
          <w:sz w:val="19"/>
          <w:szCs w:val="19"/>
        </w:rPr>
        <w:t>l</w:t>
      </w:r>
      <w:r w:rsidRPr="00AE35C1">
        <w:rPr>
          <w:rFonts w:cs="Arial"/>
          <w:color w:val="000000"/>
          <w:sz w:val="19"/>
          <w:szCs w:val="19"/>
        </w:rPr>
        <w:t xml:space="preserve">egnickiej </w:t>
      </w:r>
      <w:r w:rsidR="001D40BA" w:rsidRPr="00AE35C1">
        <w:rPr>
          <w:rFonts w:cs="Arial"/>
          <w:color w:val="000000"/>
          <w:sz w:val="19"/>
          <w:szCs w:val="19"/>
        </w:rPr>
        <w:t>–</w:t>
      </w:r>
      <w:r w:rsidR="004C717D" w:rsidRPr="00AE35C1">
        <w:rPr>
          <w:rFonts w:cs="Arial"/>
          <w:color w:val="000000"/>
          <w:sz w:val="19"/>
          <w:szCs w:val="19"/>
        </w:rPr>
        <w:t xml:space="preserve"> 72% </w:t>
      </w:r>
      <w:r w:rsidR="001D40BA" w:rsidRPr="00AE35C1">
        <w:rPr>
          <w:rFonts w:cs="Arial"/>
          <w:color w:val="000000"/>
          <w:sz w:val="19"/>
          <w:szCs w:val="19"/>
        </w:rPr>
        <w:t xml:space="preserve">(obszar </w:t>
      </w:r>
      <w:r w:rsidR="005A2C29" w:rsidRPr="00AE35C1">
        <w:rPr>
          <w:rFonts w:cs="Arial"/>
          <w:color w:val="000000"/>
          <w:sz w:val="19"/>
          <w:szCs w:val="19"/>
        </w:rPr>
        <w:t>powiatów</w:t>
      </w:r>
      <w:r w:rsidR="001D40BA" w:rsidRPr="00AE35C1">
        <w:rPr>
          <w:rFonts w:cs="Arial"/>
          <w:color w:val="000000"/>
          <w:sz w:val="19"/>
          <w:szCs w:val="19"/>
        </w:rPr>
        <w:t>: legnickiego i miasta Legnica</w:t>
      </w:r>
      <w:r w:rsidR="005A2C29" w:rsidRPr="00AE35C1">
        <w:rPr>
          <w:rFonts w:cs="Arial"/>
          <w:color w:val="000000"/>
          <w:sz w:val="19"/>
          <w:szCs w:val="19"/>
        </w:rPr>
        <w:t>) oraz</w:t>
      </w:r>
      <w:r w:rsidR="009918E9" w:rsidRPr="00AE35C1">
        <w:rPr>
          <w:rFonts w:cs="Arial"/>
          <w:color w:val="000000"/>
          <w:sz w:val="19"/>
          <w:szCs w:val="19"/>
        </w:rPr>
        <w:t> </w:t>
      </w:r>
      <w:r w:rsidR="0009332D" w:rsidRPr="00AE35C1">
        <w:rPr>
          <w:rFonts w:cs="Arial"/>
          <w:color w:val="000000"/>
          <w:sz w:val="19"/>
          <w:szCs w:val="19"/>
        </w:rPr>
        <w:t>a</w:t>
      </w:r>
      <w:r w:rsidRPr="00AE35C1">
        <w:rPr>
          <w:rFonts w:cs="Arial"/>
          <w:color w:val="000000"/>
          <w:sz w:val="19"/>
          <w:szCs w:val="19"/>
        </w:rPr>
        <w:t xml:space="preserve">glomeracji </w:t>
      </w:r>
      <w:r w:rsidR="0009332D" w:rsidRPr="00AE35C1">
        <w:rPr>
          <w:rFonts w:cs="Arial"/>
          <w:color w:val="000000"/>
          <w:sz w:val="19"/>
          <w:szCs w:val="19"/>
        </w:rPr>
        <w:t>w</w:t>
      </w:r>
      <w:r w:rsidR="001D40BA" w:rsidRPr="00AE35C1">
        <w:rPr>
          <w:rFonts w:cs="Arial"/>
          <w:color w:val="000000"/>
          <w:sz w:val="19"/>
          <w:szCs w:val="19"/>
        </w:rPr>
        <w:t xml:space="preserve">rocławskiej – </w:t>
      </w:r>
      <w:r w:rsidR="004C717D" w:rsidRPr="00AE35C1">
        <w:rPr>
          <w:rFonts w:cs="Arial"/>
          <w:color w:val="000000"/>
          <w:sz w:val="19"/>
          <w:szCs w:val="19"/>
        </w:rPr>
        <w:t xml:space="preserve">59% </w:t>
      </w:r>
      <w:r w:rsidRPr="00AE35C1">
        <w:rPr>
          <w:rFonts w:cs="Arial"/>
          <w:color w:val="000000"/>
          <w:sz w:val="19"/>
          <w:szCs w:val="19"/>
        </w:rPr>
        <w:t>(obszar powiatów</w:t>
      </w:r>
      <w:r w:rsidR="001D40BA" w:rsidRPr="00AE35C1">
        <w:rPr>
          <w:rFonts w:cs="Arial"/>
          <w:color w:val="000000"/>
          <w:sz w:val="19"/>
          <w:szCs w:val="19"/>
        </w:rPr>
        <w:t>:</w:t>
      </w:r>
      <w:r w:rsidRPr="00AE35C1">
        <w:rPr>
          <w:rFonts w:cs="Arial"/>
          <w:color w:val="000000"/>
          <w:sz w:val="19"/>
          <w:szCs w:val="19"/>
        </w:rPr>
        <w:t xml:space="preserve"> trzebnickiego, średzkiego, </w:t>
      </w:r>
      <w:r w:rsidR="005A2C29" w:rsidRPr="00AE35C1">
        <w:rPr>
          <w:rFonts w:cs="Arial"/>
          <w:color w:val="000000"/>
          <w:sz w:val="19"/>
          <w:szCs w:val="19"/>
        </w:rPr>
        <w:t>wrocław</w:t>
      </w:r>
      <w:r w:rsidR="00486601" w:rsidRPr="00AE35C1">
        <w:rPr>
          <w:rFonts w:cs="Arial"/>
          <w:color w:val="000000"/>
          <w:sz w:val="19"/>
          <w:szCs w:val="19"/>
        </w:rPr>
        <w:t>skiego i </w:t>
      </w:r>
      <w:r w:rsidRPr="00AE35C1">
        <w:rPr>
          <w:rFonts w:cs="Arial"/>
          <w:color w:val="000000"/>
          <w:sz w:val="19"/>
          <w:szCs w:val="19"/>
        </w:rPr>
        <w:t>mias</w:t>
      </w:r>
      <w:r w:rsidR="001D40BA" w:rsidRPr="00AE35C1">
        <w:rPr>
          <w:rFonts w:cs="Arial"/>
          <w:color w:val="000000"/>
          <w:sz w:val="19"/>
          <w:szCs w:val="19"/>
        </w:rPr>
        <w:t>ta Wrocław</w:t>
      </w:r>
      <w:r w:rsidR="005A2C29" w:rsidRPr="00AE35C1">
        <w:rPr>
          <w:rFonts w:cs="Arial"/>
          <w:color w:val="000000"/>
          <w:sz w:val="19"/>
          <w:szCs w:val="19"/>
        </w:rPr>
        <w:t xml:space="preserve">), natomiast najniższa dynamika cechowała </w:t>
      </w:r>
      <w:r w:rsidR="0009332D" w:rsidRPr="00AE35C1">
        <w:rPr>
          <w:rFonts w:cs="Arial"/>
          <w:color w:val="000000"/>
          <w:sz w:val="19"/>
          <w:szCs w:val="19"/>
        </w:rPr>
        <w:t>a</w:t>
      </w:r>
      <w:r w:rsidR="005A2C29" w:rsidRPr="00AE35C1">
        <w:rPr>
          <w:rFonts w:cs="Arial"/>
          <w:color w:val="000000"/>
          <w:sz w:val="19"/>
          <w:szCs w:val="19"/>
        </w:rPr>
        <w:t xml:space="preserve">glomerację </w:t>
      </w:r>
      <w:r w:rsidR="0009332D" w:rsidRPr="00AE35C1">
        <w:rPr>
          <w:rFonts w:cs="Arial"/>
          <w:color w:val="000000"/>
          <w:sz w:val="19"/>
          <w:szCs w:val="19"/>
        </w:rPr>
        <w:t>j</w:t>
      </w:r>
      <w:r w:rsidR="005A2C29" w:rsidRPr="00AE35C1">
        <w:rPr>
          <w:rFonts w:cs="Arial"/>
          <w:color w:val="000000"/>
          <w:sz w:val="19"/>
          <w:szCs w:val="19"/>
        </w:rPr>
        <w:t xml:space="preserve">eleniogórską – 19% (obszar powiatów: jeleniogórskiego i miasta Jelenia Góra) oraz </w:t>
      </w:r>
      <w:r w:rsidR="0009332D" w:rsidRPr="00AE35C1">
        <w:rPr>
          <w:rFonts w:cs="Arial"/>
          <w:color w:val="000000"/>
          <w:sz w:val="19"/>
          <w:szCs w:val="19"/>
        </w:rPr>
        <w:t>a</w:t>
      </w:r>
      <w:r w:rsidR="005A2C29" w:rsidRPr="00AE35C1">
        <w:rPr>
          <w:rFonts w:cs="Arial"/>
          <w:color w:val="000000"/>
          <w:sz w:val="19"/>
          <w:szCs w:val="19"/>
        </w:rPr>
        <w:t xml:space="preserve">glomerację </w:t>
      </w:r>
      <w:r w:rsidR="0009332D" w:rsidRPr="00AE35C1">
        <w:rPr>
          <w:rFonts w:cs="Arial"/>
          <w:color w:val="000000"/>
          <w:sz w:val="19"/>
          <w:szCs w:val="19"/>
        </w:rPr>
        <w:t>w</w:t>
      </w:r>
      <w:r w:rsidR="005A2C29" w:rsidRPr="00AE35C1">
        <w:rPr>
          <w:rFonts w:cs="Arial"/>
          <w:color w:val="000000"/>
          <w:sz w:val="19"/>
          <w:szCs w:val="19"/>
        </w:rPr>
        <w:t>ałbrzyską – 42% (obszar powiatów: świdnickiego, wałbrzyskiego i miasta Wałbrzych).</w:t>
      </w:r>
      <w:r w:rsidR="002949AC">
        <w:rPr>
          <w:rFonts w:cs="Arial"/>
          <w:color w:val="000000"/>
          <w:sz w:val="19"/>
          <w:szCs w:val="19"/>
        </w:rPr>
        <w:t xml:space="preserve"> </w:t>
      </w:r>
      <w:r w:rsidR="00731209" w:rsidRPr="00AE35C1">
        <w:rPr>
          <w:rFonts w:cs="Arial"/>
          <w:color w:val="000000"/>
          <w:sz w:val="19"/>
          <w:szCs w:val="19"/>
        </w:rPr>
        <w:t xml:space="preserve">W 2015 roku najwyższą wartością ulokowanych inwestycji przez przedsiębiorców ogółem wyróżniała się </w:t>
      </w:r>
      <w:r w:rsidR="0009332D" w:rsidRPr="00AE35C1">
        <w:rPr>
          <w:rFonts w:cs="Arial"/>
          <w:color w:val="000000"/>
          <w:sz w:val="19"/>
          <w:szCs w:val="19"/>
        </w:rPr>
        <w:t>a</w:t>
      </w:r>
      <w:r w:rsidR="00731209" w:rsidRPr="00AE35C1">
        <w:rPr>
          <w:rFonts w:cs="Arial"/>
          <w:color w:val="000000"/>
          <w:sz w:val="19"/>
          <w:szCs w:val="19"/>
        </w:rPr>
        <w:t xml:space="preserve">glomeracja </w:t>
      </w:r>
      <w:r w:rsidR="0009332D" w:rsidRPr="00AE35C1">
        <w:rPr>
          <w:rFonts w:cs="Arial"/>
          <w:color w:val="000000"/>
          <w:sz w:val="19"/>
          <w:szCs w:val="19"/>
        </w:rPr>
        <w:t>w</w:t>
      </w:r>
      <w:r w:rsidR="00731209" w:rsidRPr="00AE35C1">
        <w:rPr>
          <w:rFonts w:cs="Arial"/>
          <w:color w:val="000000"/>
          <w:sz w:val="19"/>
          <w:szCs w:val="19"/>
        </w:rPr>
        <w:t xml:space="preserve">rocławska (6 487,7 mln zł), a następnie kolejno </w:t>
      </w:r>
      <w:r w:rsidR="0009332D" w:rsidRPr="00AE35C1">
        <w:rPr>
          <w:rFonts w:cs="Arial"/>
          <w:color w:val="000000"/>
          <w:sz w:val="19"/>
          <w:szCs w:val="19"/>
        </w:rPr>
        <w:t>a</w:t>
      </w:r>
      <w:r w:rsidR="00731209" w:rsidRPr="00AE35C1">
        <w:rPr>
          <w:rFonts w:cs="Arial"/>
          <w:color w:val="000000"/>
          <w:sz w:val="19"/>
          <w:szCs w:val="19"/>
        </w:rPr>
        <w:t xml:space="preserve">glomeracje: </w:t>
      </w:r>
      <w:r w:rsidR="0009332D" w:rsidRPr="00AE35C1">
        <w:rPr>
          <w:rFonts w:cs="Arial"/>
          <w:color w:val="000000"/>
          <w:sz w:val="19"/>
          <w:szCs w:val="19"/>
        </w:rPr>
        <w:t>w</w:t>
      </w:r>
      <w:r w:rsidR="00731209" w:rsidRPr="00AE35C1">
        <w:rPr>
          <w:rFonts w:cs="Arial"/>
          <w:color w:val="000000"/>
          <w:sz w:val="19"/>
          <w:szCs w:val="19"/>
        </w:rPr>
        <w:t>ałbrzyska (1 07</w:t>
      </w:r>
      <w:r w:rsidR="00486601" w:rsidRPr="00AE35C1">
        <w:rPr>
          <w:rFonts w:cs="Arial"/>
          <w:color w:val="000000"/>
          <w:sz w:val="19"/>
          <w:szCs w:val="19"/>
        </w:rPr>
        <w:t>1,9</w:t>
      </w:r>
      <w:r w:rsidR="002949AC">
        <w:rPr>
          <w:rFonts w:cs="Arial"/>
          <w:color w:val="000000"/>
          <w:sz w:val="19"/>
          <w:szCs w:val="19"/>
        </w:rPr>
        <w:t> </w:t>
      </w:r>
      <w:r w:rsidR="00486601" w:rsidRPr="00AE35C1">
        <w:rPr>
          <w:rFonts w:cs="Arial"/>
          <w:color w:val="000000"/>
          <w:sz w:val="19"/>
          <w:szCs w:val="19"/>
        </w:rPr>
        <w:t>mln </w:t>
      </w:r>
      <w:r w:rsidR="00731209" w:rsidRPr="00AE35C1">
        <w:rPr>
          <w:rFonts w:cs="Arial"/>
          <w:color w:val="000000"/>
          <w:sz w:val="19"/>
          <w:szCs w:val="19"/>
        </w:rPr>
        <w:t xml:space="preserve">zł), </w:t>
      </w:r>
      <w:r w:rsidR="0009332D" w:rsidRPr="00AE35C1">
        <w:rPr>
          <w:rFonts w:cs="Arial"/>
          <w:color w:val="000000"/>
          <w:sz w:val="19"/>
          <w:szCs w:val="19"/>
        </w:rPr>
        <w:t>l</w:t>
      </w:r>
      <w:r w:rsidR="00731209" w:rsidRPr="00AE35C1">
        <w:rPr>
          <w:rFonts w:cs="Arial"/>
          <w:color w:val="000000"/>
          <w:sz w:val="19"/>
          <w:szCs w:val="19"/>
        </w:rPr>
        <w:t xml:space="preserve">egnicka (594,9 mln zł) i </w:t>
      </w:r>
      <w:r w:rsidR="0009332D" w:rsidRPr="00AE35C1">
        <w:rPr>
          <w:rFonts w:cs="Arial"/>
          <w:color w:val="000000"/>
          <w:sz w:val="19"/>
          <w:szCs w:val="19"/>
        </w:rPr>
        <w:t>j</w:t>
      </w:r>
      <w:r w:rsidR="00731209" w:rsidRPr="00AE35C1">
        <w:rPr>
          <w:rFonts w:cs="Arial"/>
          <w:color w:val="000000"/>
          <w:sz w:val="19"/>
          <w:szCs w:val="19"/>
        </w:rPr>
        <w:t>eleniogórska (505,5</w:t>
      </w:r>
      <w:r w:rsidR="00486601" w:rsidRPr="00AE35C1">
        <w:rPr>
          <w:rFonts w:cs="Arial"/>
          <w:color w:val="000000"/>
          <w:sz w:val="19"/>
          <w:szCs w:val="19"/>
        </w:rPr>
        <w:t xml:space="preserve"> </w:t>
      </w:r>
      <w:r w:rsidR="00731209" w:rsidRPr="00AE35C1">
        <w:rPr>
          <w:rFonts w:cs="Arial"/>
          <w:color w:val="000000"/>
          <w:sz w:val="19"/>
          <w:szCs w:val="19"/>
        </w:rPr>
        <w:t>mln zł).</w:t>
      </w:r>
    </w:p>
    <w:p w:rsidR="00731209" w:rsidRDefault="00731209" w:rsidP="00731209">
      <w:pPr>
        <w:spacing w:before="120" w:after="120" w:line="288" w:lineRule="auto"/>
        <w:jc w:val="both"/>
        <w:rPr>
          <w:rFonts w:cs="Arial"/>
          <w:color w:val="000000"/>
          <w:sz w:val="19"/>
          <w:szCs w:val="19"/>
        </w:rPr>
      </w:pPr>
      <w:r w:rsidRPr="00AE35C1">
        <w:rPr>
          <w:rFonts w:cs="Arial"/>
          <w:color w:val="000000"/>
          <w:sz w:val="19"/>
          <w:szCs w:val="19"/>
        </w:rPr>
        <w:t xml:space="preserve">W latach 2010-2015 </w:t>
      </w:r>
      <w:r w:rsidRPr="00AE35C1">
        <w:rPr>
          <w:rFonts w:cs="Arial"/>
          <w:b/>
          <w:color w:val="000000"/>
          <w:sz w:val="19"/>
          <w:szCs w:val="19"/>
        </w:rPr>
        <w:t>udział nakładów inwestycyjnych w nakładach ogółem</w:t>
      </w:r>
      <w:r w:rsidRPr="00AE35C1">
        <w:rPr>
          <w:rFonts w:cs="Arial"/>
          <w:color w:val="000000"/>
          <w:sz w:val="19"/>
          <w:szCs w:val="19"/>
        </w:rPr>
        <w:t xml:space="preserve"> ponoszonych </w:t>
      </w:r>
      <w:r w:rsidR="0005543B" w:rsidRPr="00AE35C1">
        <w:rPr>
          <w:rFonts w:cs="Arial"/>
          <w:color w:val="000000"/>
          <w:sz w:val="19"/>
          <w:szCs w:val="19"/>
        </w:rPr>
        <w:t xml:space="preserve">na działalność </w:t>
      </w:r>
      <w:proofErr w:type="spellStart"/>
      <w:r w:rsidR="0005543B" w:rsidRPr="00AE35C1">
        <w:rPr>
          <w:rFonts w:cs="Arial"/>
          <w:color w:val="000000"/>
          <w:sz w:val="19"/>
          <w:szCs w:val="19"/>
        </w:rPr>
        <w:t>B+R</w:t>
      </w:r>
      <w:proofErr w:type="spellEnd"/>
      <w:r w:rsidR="0005543B" w:rsidRPr="00AE35C1">
        <w:rPr>
          <w:rFonts w:cs="Arial"/>
          <w:color w:val="000000"/>
          <w:sz w:val="19"/>
          <w:szCs w:val="19"/>
        </w:rPr>
        <w:t xml:space="preserve"> </w:t>
      </w:r>
      <w:r w:rsidRPr="00AE35C1">
        <w:rPr>
          <w:rFonts w:cs="Arial"/>
          <w:color w:val="000000"/>
          <w:sz w:val="19"/>
          <w:szCs w:val="19"/>
        </w:rPr>
        <w:t>w</w:t>
      </w:r>
      <w:r w:rsidR="002949AC">
        <w:rPr>
          <w:rFonts w:cs="Arial"/>
          <w:color w:val="000000"/>
          <w:sz w:val="19"/>
          <w:szCs w:val="19"/>
        </w:rPr>
        <w:t> </w:t>
      </w:r>
      <w:r w:rsidRPr="00AE35C1">
        <w:rPr>
          <w:rFonts w:cs="Arial"/>
          <w:color w:val="000000"/>
          <w:sz w:val="19"/>
          <w:szCs w:val="19"/>
        </w:rPr>
        <w:t xml:space="preserve">województwie dolnośląskim wzrosła o 8%, sytuując tym samym region na 3. </w:t>
      </w:r>
      <w:r w:rsidR="0005543B" w:rsidRPr="00AE35C1">
        <w:rPr>
          <w:rFonts w:cs="Arial"/>
          <w:color w:val="000000"/>
          <w:sz w:val="19"/>
          <w:szCs w:val="19"/>
        </w:rPr>
        <w:t xml:space="preserve">miejscu w kraju </w:t>
      </w:r>
      <w:r w:rsidRPr="00AE35C1">
        <w:rPr>
          <w:rFonts w:cs="Arial"/>
          <w:color w:val="000000"/>
          <w:sz w:val="19"/>
          <w:szCs w:val="19"/>
        </w:rPr>
        <w:t>po województwach świętokrzyskim (wzrost o 22%) i</w:t>
      </w:r>
      <w:r w:rsidR="002949AC">
        <w:rPr>
          <w:rFonts w:cs="Arial"/>
          <w:color w:val="000000"/>
          <w:sz w:val="19"/>
          <w:szCs w:val="19"/>
        </w:rPr>
        <w:t> </w:t>
      </w:r>
      <w:r w:rsidRPr="00AE35C1">
        <w:rPr>
          <w:rFonts w:cs="Arial"/>
          <w:color w:val="000000"/>
          <w:sz w:val="19"/>
          <w:szCs w:val="19"/>
        </w:rPr>
        <w:t>podlaskim (wzrost o 16%)</w:t>
      </w:r>
      <w:r w:rsidR="007E7CC7">
        <w:rPr>
          <w:rFonts w:cs="Arial"/>
          <w:color w:val="000000"/>
          <w:sz w:val="19"/>
          <w:szCs w:val="19"/>
        </w:rPr>
        <w:t>,</w:t>
      </w:r>
      <w:r w:rsidRPr="00AE35C1">
        <w:rPr>
          <w:rFonts w:cs="Arial"/>
          <w:color w:val="000000"/>
          <w:sz w:val="19"/>
          <w:szCs w:val="19"/>
        </w:rPr>
        <w:t xml:space="preserve"> podczas gdy w Polsce udział ten utrzymał się na niezmienionym poziomie 26%.</w:t>
      </w:r>
    </w:p>
    <w:p w:rsidR="00120D2B" w:rsidRPr="00AE35C1" w:rsidRDefault="00120D2B" w:rsidP="00191A1B">
      <w:pPr>
        <w:pStyle w:val="MAPA"/>
        <w:spacing w:before="0" w:line="288" w:lineRule="auto"/>
        <w:ind w:left="142" w:hanging="142"/>
        <w:jc w:val="both"/>
        <w:rPr>
          <w:iCs w:val="0"/>
        </w:rPr>
      </w:pPr>
      <w:r w:rsidRPr="00AE35C1">
        <w:t>MAPA 2</w:t>
      </w:r>
      <w:r w:rsidR="004964B3">
        <w:t>6</w:t>
      </w:r>
      <w:r w:rsidRPr="00AE35C1">
        <w:t xml:space="preserve">. </w:t>
      </w:r>
      <w:r w:rsidR="00605E4B" w:rsidRPr="00AE35C1">
        <w:t>nakłady na działalność badawczo-rozwojową</w:t>
      </w:r>
      <w:r w:rsidRPr="00AE35C1">
        <w:t xml:space="preserve"> w regionach nuts2 w</w:t>
      </w:r>
      <w:r w:rsidR="00D20F69" w:rsidRPr="00AE35C1">
        <w:t> europie [2014]</w:t>
      </w:r>
    </w:p>
    <w:p w:rsidR="00120D2B" w:rsidRDefault="002576FC" w:rsidP="00120D2B">
      <w:pPr>
        <w:spacing w:after="0" w:line="288" w:lineRule="auto"/>
        <w:jc w:val="center"/>
        <w:rPr>
          <w:rFonts w:ascii="Times New Roman" w:eastAsia="Times New Roman" w:hAnsi="Times New Roman"/>
          <w:snapToGrid w:val="0"/>
          <w:color w:val="000000"/>
          <w:w w:val="0"/>
          <w:sz w:val="0"/>
          <w:szCs w:val="0"/>
          <w:u w:color="000000"/>
          <w:bdr w:val="none" w:sz="0" w:space="0" w:color="000000"/>
          <w:shd w:val="clear" w:color="000000" w:fill="000000"/>
        </w:rPr>
      </w:pPr>
      <w:r w:rsidRPr="002576FC">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606D71" w:rsidRPr="00AE35C1" w:rsidRDefault="00606D71" w:rsidP="00120D2B">
      <w:pPr>
        <w:spacing w:after="0" w:line="288" w:lineRule="auto"/>
        <w:jc w:val="center"/>
        <w:rPr>
          <w:b/>
          <w:color w:val="000000"/>
        </w:rPr>
      </w:pPr>
      <w:r w:rsidRPr="00606D71">
        <w:rPr>
          <w:b/>
          <w:noProof/>
          <w:color w:val="000000"/>
          <w:lang w:eastAsia="pl-PL"/>
        </w:rPr>
        <w:lastRenderedPageBreak/>
        <w:drawing>
          <wp:inline distT="0" distB="0" distL="0" distR="0">
            <wp:extent cx="2780665" cy="3895487"/>
            <wp:effectExtent l="0" t="0" r="635" b="0"/>
            <wp:docPr id="96" name="Obraz 96" descr="P:\ PROJEKTY 2017\09 SRWD 2030\04_Grafika\jpg\UE\Mapa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 PROJEKTY 2017\09 SRWD 2030\04_Grafika\jpg\UE\Mapa 24.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665" cy="3895487"/>
                    </a:xfrm>
                    <a:prstGeom prst="rect">
                      <a:avLst/>
                    </a:prstGeom>
                    <a:noFill/>
                    <a:ln>
                      <a:noFill/>
                    </a:ln>
                  </pic:spPr>
                </pic:pic>
              </a:graphicData>
            </a:graphic>
          </wp:inline>
        </w:drawing>
      </w:r>
    </w:p>
    <w:p w:rsidR="00120D2B" w:rsidRPr="00D113CA" w:rsidRDefault="00DF7C1C" w:rsidP="00191A1B">
      <w:pPr>
        <w:pStyle w:val="RDO"/>
        <w:spacing w:line="288" w:lineRule="auto"/>
        <w:ind w:left="426" w:hanging="426"/>
        <w:rPr>
          <w:color w:val="000000"/>
        </w:rPr>
      </w:pPr>
      <w:r w:rsidRPr="00D113CA">
        <w:rPr>
          <w:color w:val="000000"/>
        </w:rPr>
        <w:t xml:space="preserve">Źródło: </w:t>
      </w:r>
      <w:r w:rsidR="00905F49" w:rsidRPr="00606D71">
        <w:rPr>
          <w:color w:val="000000"/>
        </w:rPr>
        <w:t xml:space="preserve">Siódmy raport na temat spójności gospodarczej, społecznej </w:t>
      </w:r>
      <w:r w:rsidR="00905F49">
        <w:rPr>
          <w:color w:val="000000"/>
        </w:rPr>
        <w:t>i</w:t>
      </w:r>
      <w:r w:rsidR="00191A1B">
        <w:rPr>
          <w:color w:val="000000"/>
        </w:rPr>
        <w:t> </w:t>
      </w:r>
      <w:r w:rsidR="00905F49" w:rsidRPr="00606D71">
        <w:rPr>
          <w:color w:val="000000"/>
        </w:rPr>
        <w:t xml:space="preserve">terytorialnej, </w:t>
      </w:r>
      <w:r w:rsidRPr="00D113CA">
        <w:rPr>
          <w:color w:val="000000"/>
        </w:rPr>
        <w:t>2017.</w:t>
      </w:r>
    </w:p>
    <w:p w:rsidR="00E7427F" w:rsidRDefault="00E7427F" w:rsidP="00120D2B">
      <w:pPr>
        <w:pStyle w:val="RDO"/>
        <w:spacing w:line="288" w:lineRule="auto"/>
        <w:rPr>
          <w:b/>
          <w:i w:val="0"/>
          <w:color w:val="000000"/>
          <w:sz w:val="19"/>
          <w:szCs w:val="19"/>
        </w:rPr>
      </w:pPr>
      <w:r w:rsidRPr="00AE35C1">
        <w:rPr>
          <w:i w:val="0"/>
          <w:color w:val="000000"/>
          <w:sz w:val="19"/>
          <w:szCs w:val="19"/>
        </w:rPr>
        <w:t xml:space="preserve">Pod względem </w:t>
      </w:r>
      <w:r w:rsidRPr="00AE35C1">
        <w:rPr>
          <w:b/>
          <w:i w:val="0"/>
          <w:color w:val="000000"/>
          <w:sz w:val="19"/>
          <w:szCs w:val="19"/>
        </w:rPr>
        <w:t xml:space="preserve">udziału nakładów finansowanych z sektora przedsiębiorstw w nakładach ponoszonych na działalność </w:t>
      </w:r>
      <w:proofErr w:type="spellStart"/>
      <w:r w:rsidRPr="00AE35C1">
        <w:rPr>
          <w:b/>
          <w:i w:val="0"/>
          <w:color w:val="000000"/>
          <w:sz w:val="19"/>
          <w:szCs w:val="19"/>
        </w:rPr>
        <w:t>B+R</w:t>
      </w:r>
      <w:proofErr w:type="spellEnd"/>
      <w:r w:rsidRPr="00AE35C1">
        <w:rPr>
          <w:i w:val="0"/>
          <w:color w:val="000000"/>
          <w:sz w:val="19"/>
          <w:szCs w:val="19"/>
        </w:rPr>
        <w:t xml:space="preserve"> ogółem w 2015 roku województwo dolnośląskie zajmowało 7. miejsce (38,2%) po województwach podkarpackim (63,8%), kujawsko-pomorskim (53,9%), pomorskim (51,7%), śląskim (44,8%), małopolskim (41%) i lubuskim (40,3%). Od 2010 roku na Dolnym Śląsku odnotowano w tym samym czasie zaledwie 4,5% wzrost udziału nakładów finansowanych z sektora przedsiębiorstw w nakładach ponoszonych na działalność </w:t>
      </w:r>
      <w:proofErr w:type="spellStart"/>
      <w:r w:rsidRPr="00AE35C1">
        <w:rPr>
          <w:i w:val="0"/>
          <w:color w:val="000000"/>
          <w:sz w:val="19"/>
          <w:szCs w:val="19"/>
        </w:rPr>
        <w:t>B+R</w:t>
      </w:r>
      <w:proofErr w:type="spellEnd"/>
      <w:r w:rsidRPr="00AE35C1">
        <w:rPr>
          <w:i w:val="0"/>
          <w:color w:val="000000"/>
          <w:sz w:val="19"/>
          <w:szCs w:val="19"/>
        </w:rPr>
        <w:t xml:space="preserve"> (niższy odnotowano tylko w województwie lubelskim </w:t>
      </w:r>
      <w:r w:rsidRPr="00AE35C1">
        <w:rPr>
          <w:rFonts w:ascii="Times New Roman" w:hAnsi="Times New Roman"/>
          <w:i w:val="0"/>
          <w:color w:val="000000"/>
          <w:sz w:val="19"/>
          <w:szCs w:val="19"/>
        </w:rPr>
        <w:t>−</w:t>
      </w:r>
      <w:r w:rsidRPr="00AE35C1">
        <w:rPr>
          <w:i w:val="0"/>
          <w:color w:val="000000"/>
          <w:sz w:val="19"/>
          <w:szCs w:val="19"/>
        </w:rPr>
        <w:t xml:space="preserve"> 2,9%).</w:t>
      </w:r>
    </w:p>
    <w:p w:rsidR="00120D2B" w:rsidRPr="00AE35C1" w:rsidRDefault="00120D2B" w:rsidP="00120D2B">
      <w:pPr>
        <w:pStyle w:val="RDO"/>
        <w:spacing w:line="288" w:lineRule="auto"/>
        <w:rPr>
          <w:i w:val="0"/>
          <w:color w:val="000000"/>
          <w:sz w:val="19"/>
          <w:szCs w:val="19"/>
        </w:rPr>
      </w:pPr>
      <w:r w:rsidRPr="00AE35C1">
        <w:rPr>
          <w:b/>
          <w:i w:val="0"/>
          <w:color w:val="000000"/>
          <w:sz w:val="19"/>
          <w:szCs w:val="19"/>
        </w:rPr>
        <w:t>Specjalne Strefy Ekonomiczne</w:t>
      </w:r>
      <w:r w:rsidRPr="00AE35C1">
        <w:rPr>
          <w:i w:val="0"/>
          <w:color w:val="000000"/>
          <w:sz w:val="19"/>
          <w:szCs w:val="19"/>
        </w:rPr>
        <w:t xml:space="preserve"> (SSE) stanowią wyodrębnione administracyjnie obszary Polski, gdzie inwestorzy mogą prowadzić działalność gospodarczą na preferencyjnych warunkach. Przedsiębiorstwa zlokalizowane w strefach mają zapewnione ulgi, zwolnienia podatkowe oraz atrakcyjne, uzbrojone tereny. Dolny Śląsk dysponuje największą w Polsce liczbą obszarów SSE i miejsc dostępnych pod inwestycje. Zajmują one ogółem oko</w:t>
      </w:r>
      <w:r w:rsidR="00A83381" w:rsidRPr="00AE35C1">
        <w:rPr>
          <w:i w:val="0"/>
          <w:color w:val="000000"/>
          <w:sz w:val="19"/>
          <w:szCs w:val="19"/>
        </w:rPr>
        <w:t>ło 3,6 tys. ha w 55 podstrefach, funkcjonujących w</w:t>
      </w:r>
      <w:r w:rsidR="00025589" w:rsidRPr="00AE35C1">
        <w:rPr>
          <w:i w:val="0"/>
          <w:color w:val="000000"/>
          <w:sz w:val="19"/>
          <w:szCs w:val="19"/>
        </w:rPr>
        <w:t> </w:t>
      </w:r>
      <w:r w:rsidR="00A83381" w:rsidRPr="00AE35C1">
        <w:rPr>
          <w:i w:val="0"/>
          <w:color w:val="000000"/>
          <w:sz w:val="19"/>
          <w:szCs w:val="19"/>
        </w:rPr>
        <w:t xml:space="preserve">ramach 4 </w:t>
      </w:r>
      <w:r w:rsidR="00760E24" w:rsidRPr="00AE35C1">
        <w:rPr>
          <w:i w:val="0"/>
          <w:color w:val="000000"/>
          <w:sz w:val="19"/>
          <w:szCs w:val="19"/>
        </w:rPr>
        <w:t>stref</w:t>
      </w:r>
      <w:r w:rsidR="00A83381" w:rsidRPr="00AE35C1">
        <w:rPr>
          <w:i w:val="0"/>
          <w:color w:val="000000"/>
          <w:sz w:val="19"/>
          <w:szCs w:val="19"/>
        </w:rPr>
        <w:t xml:space="preserve"> (legnicka, kamiennogórska, tarnobrzeska, wałbrzyska). </w:t>
      </w:r>
      <w:r w:rsidRPr="00AE35C1">
        <w:rPr>
          <w:i w:val="0"/>
          <w:color w:val="000000"/>
          <w:sz w:val="19"/>
          <w:szCs w:val="19"/>
        </w:rPr>
        <w:t xml:space="preserve">Do czerwca 2015 roku </w:t>
      </w:r>
      <w:r w:rsidR="00025589" w:rsidRPr="00AE35C1">
        <w:rPr>
          <w:i w:val="0"/>
          <w:color w:val="000000"/>
          <w:sz w:val="19"/>
          <w:szCs w:val="19"/>
        </w:rPr>
        <w:t>na terenach SSE wydanych było w</w:t>
      </w:r>
      <w:r w:rsidR="000666B0" w:rsidRPr="00AE35C1">
        <w:rPr>
          <w:i w:val="0"/>
          <w:color w:val="000000"/>
          <w:sz w:val="19"/>
          <w:szCs w:val="19"/>
        </w:rPr>
        <w:t> </w:t>
      </w:r>
      <w:r w:rsidR="00025589" w:rsidRPr="00AE35C1">
        <w:rPr>
          <w:i w:val="0"/>
          <w:color w:val="000000"/>
          <w:sz w:val="19"/>
          <w:szCs w:val="19"/>
        </w:rPr>
        <w:t xml:space="preserve">województwie 369 </w:t>
      </w:r>
      <w:r w:rsidR="00486601" w:rsidRPr="00AE35C1">
        <w:rPr>
          <w:i w:val="0"/>
          <w:color w:val="000000"/>
          <w:sz w:val="19"/>
          <w:szCs w:val="19"/>
        </w:rPr>
        <w:t>ważnych zezwoleń na </w:t>
      </w:r>
      <w:r w:rsidRPr="00AE35C1">
        <w:rPr>
          <w:i w:val="0"/>
          <w:color w:val="000000"/>
          <w:sz w:val="19"/>
          <w:szCs w:val="19"/>
        </w:rPr>
        <w:t>prowadzenie dział</w:t>
      </w:r>
      <w:r w:rsidR="00486601" w:rsidRPr="00AE35C1">
        <w:rPr>
          <w:i w:val="0"/>
          <w:color w:val="000000"/>
          <w:sz w:val="19"/>
          <w:szCs w:val="19"/>
        </w:rPr>
        <w:t xml:space="preserve">alności gospodarczej, zgodnie </w:t>
      </w:r>
      <w:r w:rsidR="00486601" w:rsidRPr="00AE35C1">
        <w:rPr>
          <w:i w:val="0"/>
          <w:color w:val="000000"/>
          <w:sz w:val="19"/>
          <w:szCs w:val="19"/>
        </w:rPr>
        <w:lastRenderedPageBreak/>
        <w:t>z </w:t>
      </w:r>
      <w:r w:rsidRPr="00AE35C1">
        <w:rPr>
          <w:i w:val="0"/>
          <w:color w:val="000000"/>
          <w:sz w:val="19"/>
          <w:szCs w:val="19"/>
        </w:rPr>
        <w:t>którymi inwestorzy zadeklarowali zatrudnienie ponad 61 tysięcy osób.</w:t>
      </w:r>
    </w:p>
    <w:p w:rsidR="00814A82" w:rsidRPr="00AE35C1" w:rsidRDefault="00814A82" w:rsidP="00814A82">
      <w:pPr>
        <w:pStyle w:val="Nagwek3"/>
        <w:rPr>
          <w:rFonts w:ascii="Calibri" w:hAnsi="Calibri" w:cs="Arial"/>
          <w:sz w:val="19"/>
          <w:szCs w:val="19"/>
        </w:rPr>
      </w:pPr>
      <w:bookmarkStart w:id="39" w:name="_Toc499582774"/>
      <w:bookmarkStart w:id="40" w:name="_Toc511716314"/>
      <w:r w:rsidRPr="00AE35C1">
        <w:t>INWESTORZY ZAGRANICZNI I HANDEL ZAGRANICZNY</w:t>
      </w:r>
      <w:bookmarkEnd w:id="39"/>
      <w:bookmarkEnd w:id="40"/>
    </w:p>
    <w:p w:rsidR="0029757C" w:rsidRDefault="00814A82" w:rsidP="0029757C">
      <w:pPr>
        <w:spacing w:before="120" w:after="120" w:line="288" w:lineRule="auto"/>
        <w:jc w:val="both"/>
        <w:rPr>
          <w:color w:val="000000"/>
          <w:sz w:val="19"/>
          <w:szCs w:val="19"/>
        </w:rPr>
      </w:pPr>
      <w:r w:rsidRPr="00AE35C1">
        <w:rPr>
          <w:rFonts w:cs="Arial"/>
          <w:color w:val="000000"/>
          <w:sz w:val="19"/>
          <w:szCs w:val="19"/>
        </w:rPr>
        <w:t xml:space="preserve">W 2015 roku pod względem liczby </w:t>
      </w:r>
      <w:r w:rsidRPr="00AE35C1">
        <w:rPr>
          <w:rFonts w:cs="Arial"/>
          <w:b/>
          <w:color w:val="000000"/>
          <w:sz w:val="19"/>
          <w:szCs w:val="19"/>
        </w:rPr>
        <w:t xml:space="preserve">inwestorów zagranicznych </w:t>
      </w:r>
      <w:r w:rsidR="00A83381" w:rsidRPr="00AE35C1">
        <w:rPr>
          <w:rFonts w:cs="Arial"/>
          <w:color w:val="000000"/>
          <w:sz w:val="19"/>
          <w:szCs w:val="19"/>
        </w:rPr>
        <w:t xml:space="preserve">region plasował się na 4. </w:t>
      </w:r>
      <w:r w:rsidRPr="00AE35C1">
        <w:rPr>
          <w:rFonts w:cs="Arial"/>
          <w:color w:val="000000"/>
          <w:sz w:val="19"/>
          <w:szCs w:val="19"/>
        </w:rPr>
        <w:t xml:space="preserve">miejscu wśród polskich województw. </w:t>
      </w:r>
      <w:r w:rsidR="001D1B69" w:rsidRPr="00AE35C1">
        <w:rPr>
          <w:rFonts w:cs="Arial"/>
          <w:color w:val="000000"/>
          <w:sz w:val="19"/>
          <w:szCs w:val="19"/>
        </w:rPr>
        <w:t xml:space="preserve">Ponad połowa z nich (52,4%) miała siedzibę we Wrocławiu, a </w:t>
      </w:r>
      <w:r w:rsidR="000F3A36" w:rsidRPr="00AE35C1">
        <w:rPr>
          <w:rFonts w:cs="Arial"/>
          <w:color w:val="000000"/>
          <w:sz w:val="19"/>
          <w:szCs w:val="19"/>
        </w:rPr>
        <w:t xml:space="preserve">następnie w </w:t>
      </w:r>
      <w:r w:rsidR="00486601" w:rsidRPr="00AE35C1">
        <w:rPr>
          <w:rFonts w:cs="Arial"/>
          <w:color w:val="000000"/>
          <w:sz w:val="19"/>
          <w:szCs w:val="19"/>
        </w:rPr>
        <w:t>powiat</w:t>
      </w:r>
      <w:r w:rsidR="000F3A36" w:rsidRPr="00AE35C1">
        <w:rPr>
          <w:rFonts w:cs="Arial"/>
          <w:color w:val="000000"/>
          <w:sz w:val="19"/>
          <w:szCs w:val="19"/>
        </w:rPr>
        <w:t>ach</w:t>
      </w:r>
      <w:r w:rsidR="00486601" w:rsidRPr="00AE35C1">
        <w:rPr>
          <w:rFonts w:cs="Arial"/>
          <w:color w:val="000000"/>
          <w:sz w:val="19"/>
          <w:szCs w:val="19"/>
        </w:rPr>
        <w:t>: wrocławski</w:t>
      </w:r>
      <w:r w:rsidR="000F3A36" w:rsidRPr="00AE35C1">
        <w:rPr>
          <w:rFonts w:cs="Arial"/>
          <w:color w:val="000000"/>
          <w:sz w:val="19"/>
          <w:szCs w:val="19"/>
        </w:rPr>
        <w:t>m</w:t>
      </w:r>
      <w:r w:rsidR="00486601" w:rsidRPr="00AE35C1">
        <w:rPr>
          <w:rFonts w:cs="Arial"/>
          <w:color w:val="000000"/>
          <w:sz w:val="19"/>
          <w:szCs w:val="19"/>
        </w:rPr>
        <w:t xml:space="preserve"> (9,1%) i </w:t>
      </w:r>
      <w:r w:rsidR="001D1B69" w:rsidRPr="00AE35C1">
        <w:rPr>
          <w:rFonts w:cs="Arial"/>
          <w:color w:val="000000"/>
          <w:sz w:val="19"/>
          <w:szCs w:val="19"/>
        </w:rPr>
        <w:t>świdnicki</w:t>
      </w:r>
      <w:r w:rsidR="000F3A36" w:rsidRPr="00AE35C1">
        <w:rPr>
          <w:rFonts w:cs="Arial"/>
          <w:color w:val="000000"/>
          <w:sz w:val="19"/>
          <w:szCs w:val="19"/>
        </w:rPr>
        <w:t>m</w:t>
      </w:r>
      <w:r w:rsidR="001D1B69" w:rsidRPr="00AE35C1">
        <w:rPr>
          <w:rFonts w:cs="Arial"/>
          <w:color w:val="000000"/>
          <w:sz w:val="19"/>
          <w:szCs w:val="19"/>
        </w:rPr>
        <w:t xml:space="preserve"> (4,1%). </w:t>
      </w:r>
      <w:r w:rsidR="000F3A36" w:rsidRPr="00AE35C1">
        <w:rPr>
          <w:color w:val="000000"/>
          <w:sz w:val="19"/>
          <w:szCs w:val="19"/>
        </w:rPr>
        <w:t xml:space="preserve">W 2015 roku </w:t>
      </w:r>
      <w:r w:rsidR="000F3A36" w:rsidRPr="00AE35C1">
        <w:rPr>
          <w:b/>
          <w:color w:val="000000"/>
          <w:sz w:val="19"/>
          <w:szCs w:val="19"/>
        </w:rPr>
        <w:t>kapitał zagraniczny</w:t>
      </w:r>
      <w:r w:rsidR="000F3A36" w:rsidRPr="00AE35C1">
        <w:rPr>
          <w:color w:val="000000"/>
          <w:sz w:val="19"/>
          <w:szCs w:val="19"/>
        </w:rPr>
        <w:t xml:space="preserve"> z</w:t>
      </w:r>
      <w:r w:rsidR="001D1B69" w:rsidRPr="00AE35C1">
        <w:rPr>
          <w:color w:val="000000"/>
          <w:sz w:val="19"/>
          <w:szCs w:val="19"/>
        </w:rPr>
        <w:t>ainwestowany na Dolnym Śląsku w</w:t>
      </w:r>
      <w:r w:rsidR="002949AC">
        <w:rPr>
          <w:color w:val="000000"/>
          <w:sz w:val="19"/>
          <w:szCs w:val="19"/>
        </w:rPr>
        <w:t> </w:t>
      </w:r>
      <w:r w:rsidR="00486601" w:rsidRPr="00AE35C1">
        <w:rPr>
          <w:color w:val="000000"/>
          <w:sz w:val="19"/>
          <w:szCs w:val="19"/>
        </w:rPr>
        <w:t>przeliczeniu na 1 mieszkańca w </w:t>
      </w:r>
      <w:r w:rsidR="001D1B69" w:rsidRPr="00AE35C1">
        <w:rPr>
          <w:color w:val="000000"/>
          <w:sz w:val="19"/>
          <w:szCs w:val="19"/>
        </w:rPr>
        <w:t>wiek</w:t>
      </w:r>
      <w:r w:rsidR="004725E5" w:rsidRPr="00AE35C1">
        <w:rPr>
          <w:color w:val="000000"/>
          <w:sz w:val="19"/>
          <w:szCs w:val="19"/>
        </w:rPr>
        <w:t>u produkcyjnym wynosił średnio 9</w:t>
      </w:r>
      <w:r w:rsidR="00486601" w:rsidRPr="00AE35C1">
        <w:rPr>
          <w:color w:val="000000"/>
          <w:sz w:val="19"/>
          <w:szCs w:val="19"/>
        </w:rPr>
        <w:t> </w:t>
      </w:r>
      <w:r w:rsidR="004725E5" w:rsidRPr="00AE35C1">
        <w:rPr>
          <w:color w:val="000000"/>
          <w:sz w:val="19"/>
          <w:szCs w:val="19"/>
        </w:rPr>
        <w:t>254</w:t>
      </w:r>
      <w:r w:rsidR="00486601" w:rsidRPr="00AE35C1">
        <w:rPr>
          <w:color w:val="000000"/>
          <w:sz w:val="19"/>
          <w:szCs w:val="19"/>
        </w:rPr>
        <w:t> </w:t>
      </w:r>
      <w:r w:rsidR="001D1B69" w:rsidRPr="00AE35C1">
        <w:rPr>
          <w:color w:val="000000"/>
          <w:sz w:val="19"/>
          <w:szCs w:val="19"/>
        </w:rPr>
        <w:t>zł, po</w:t>
      </w:r>
      <w:r w:rsidR="004725E5" w:rsidRPr="00AE35C1">
        <w:rPr>
          <w:color w:val="000000"/>
          <w:sz w:val="19"/>
          <w:szCs w:val="19"/>
        </w:rPr>
        <w:t>wy</w:t>
      </w:r>
      <w:r w:rsidR="001D1B69" w:rsidRPr="00AE35C1">
        <w:rPr>
          <w:color w:val="000000"/>
          <w:sz w:val="19"/>
          <w:szCs w:val="19"/>
        </w:rPr>
        <w:t>żej średni</w:t>
      </w:r>
      <w:r w:rsidR="00486601" w:rsidRPr="00AE35C1">
        <w:rPr>
          <w:color w:val="000000"/>
          <w:sz w:val="19"/>
          <w:szCs w:val="19"/>
        </w:rPr>
        <w:t>ej krajowej wynoszącej 8 494,97 </w:t>
      </w:r>
      <w:r w:rsidR="001D1B69" w:rsidRPr="00AE35C1">
        <w:rPr>
          <w:color w:val="000000"/>
          <w:sz w:val="19"/>
          <w:szCs w:val="19"/>
        </w:rPr>
        <w:t>zł. Najwyższy kapitał zagraniczny na Dolnym Śląsku ulokowali przedsiębiorcy niemieccy, a</w:t>
      </w:r>
      <w:r w:rsidR="002949AC">
        <w:rPr>
          <w:color w:val="000000"/>
          <w:sz w:val="19"/>
          <w:szCs w:val="19"/>
        </w:rPr>
        <w:t> </w:t>
      </w:r>
      <w:r w:rsidR="001D1B69" w:rsidRPr="00AE35C1">
        <w:rPr>
          <w:color w:val="000000"/>
          <w:sz w:val="19"/>
          <w:szCs w:val="19"/>
        </w:rPr>
        <w:t>w</w:t>
      </w:r>
      <w:r w:rsidR="00486601" w:rsidRPr="00AE35C1">
        <w:rPr>
          <w:color w:val="000000"/>
          <w:sz w:val="19"/>
          <w:szCs w:val="19"/>
        </w:rPr>
        <w:t> </w:t>
      </w:r>
      <w:r w:rsidR="001D1B69" w:rsidRPr="00AE35C1">
        <w:rPr>
          <w:color w:val="000000"/>
          <w:sz w:val="19"/>
          <w:szCs w:val="19"/>
        </w:rPr>
        <w:t>dalszej kolejności holenderscy i francuscy. Wśród podmiotów zagranicznych dominowały mikroprzedsiębiorstwa.</w:t>
      </w:r>
    </w:p>
    <w:p w:rsidR="00E7427F" w:rsidRPr="00AE35C1" w:rsidRDefault="00E7427F" w:rsidP="0029757C">
      <w:pPr>
        <w:spacing w:before="120" w:after="120" w:line="288" w:lineRule="auto"/>
        <w:jc w:val="both"/>
        <w:rPr>
          <w:rFonts w:cs="Arial"/>
          <w:color w:val="000000"/>
          <w:sz w:val="19"/>
          <w:szCs w:val="19"/>
        </w:rPr>
      </w:pPr>
      <w:r w:rsidRPr="00AE35C1">
        <w:rPr>
          <w:rFonts w:cs="Arial"/>
          <w:color w:val="000000"/>
          <w:sz w:val="19"/>
          <w:szCs w:val="19"/>
        </w:rPr>
        <w:t xml:space="preserve">Dolny Śląsk charakteryzuje najwyższy w Polsce udział </w:t>
      </w:r>
      <w:r w:rsidRPr="00AE35C1">
        <w:rPr>
          <w:rFonts w:cs="Arial"/>
          <w:b/>
          <w:color w:val="000000"/>
          <w:sz w:val="19"/>
          <w:szCs w:val="19"/>
        </w:rPr>
        <w:t xml:space="preserve">eksportu </w:t>
      </w:r>
      <w:r w:rsidRPr="00AE35C1">
        <w:rPr>
          <w:rFonts w:cs="Arial"/>
          <w:color w:val="000000"/>
          <w:sz w:val="19"/>
          <w:szCs w:val="19"/>
        </w:rPr>
        <w:t>w regionalnym PKB. Ponad połowę eksportu z</w:t>
      </w:r>
      <w:r>
        <w:rPr>
          <w:rFonts w:cs="Arial"/>
          <w:color w:val="000000"/>
          <w:sz w:val="19"/>
          <w:szCs w:val="19"/>
        </w:rPr>
        <w:t> </w:t>
      </w:r>
      <w:r w:rsidRPr="00AE35C1">
        <w:rPr>
          <w:rFonts w:cs="Arial"/>
          <w:color w:val="000000"/>
          <w:sz w:val="19"/>
          <w:szCs w:val="19"/>
        </w:rPr>
        <w:t>Dolnego Śląska stanowi wartość towarów sprzedanych przez duże przedsiębiorstwa. Niezwykle istotny pozostaje jednak fakt, że swoje produkty eksportuje również znaczna liczba mikro i małych firm z regionu.</w:t>
      </w:r>
    </w:p>
    <w:p w:rsidR="00025589" w:rsidRPr="00AE35C1" w:rsidRDefault="00025589" w:rsidP="001E71C6">
      <w:pPr>
        <w:pStyle w:val="MAPA"/>
        <w:spacing w:before="0" w:line="288" w:lineRule="auto"/>
        <w:jc w:val="both"/>
        <w:rPr>
          <w:iCs w:val="0"/>
        </w:rPr>
      </w:pPr>
      <w:r w:rsidRPr="00AE35C1">
        <w:t>MAPA 2</w:t>
      </w:r>
      <w:r w:rsidR="004964B3">
        <w:t>7</w:t>
      </w:r>
      <w:r w:rsidRPr="00AE35C1">
        <w:t>. LICZBA inwestorów zagranicznych w powiatach województwa dolnośląskiego [2015]</w:t>
      </w:r>
    </w:p>
    <w:p w:rsidR="00025589" w:rsidRPr="00AE35C1" w:rsidRDefault="0055701D" w:rsidP="00025589">
      <w:pPr>
        <w:pStyle w:val="RDO"/>
        <w:spacing w:after="240" w:line="288" w:lineRule="auto"/>
        <w:rPr>
          <w:i w:val="0"/>
          <w:color w:val="000000"/>
          <w:sz w:val="19"/>
          <w:szCs w:val="19"/>
        </w:rPr>
      </w:pPr>
      <w:r>
        <w:rPr>
          <w:noProof/>
          <w:color w:val="000000"/>
        </w:rPr>
        <w:drawing>
          <wp:inline distT="0" distB="0" distL="0" distR="0">
            <wp:extent cx="2781300" cy="2600325"/>
            <wp:effectExtent l="19050" t="0" r="0" b="0"/>
            <wp:docPr id="30"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9"/>
                    <pic:cNvPicPr>
                      <a:picLocks noChangeAspect="1" noChangeArrowheads="1"/>
                    </pic:cNvPicPr>
                  </pic:nvPicPr>
                  <pic:blipFill>
                    <a:blip r:embed="rId61" cstate="print"/>
                    <a:srcRect/>
                    <a:stretch>
                      <a:fillRect/>
                    </a:stretch>
                  </pic:blipFill>
                  <pic:spPr bwMode="auto">
                    <a:xfrm>
                      <a:off x="0" y="0"/>
                      <a:ext cx="2781300" cy="2600325"/>
                    </a:xfrm>
                    <a:prstGeom prst="rect">
                      <a:avLst/>
                    </a:prstGeom>
                    <a:noFill/>
                    <a:ln w="9525">
                      <a:noFill/>
                      <a:miter lim="800000"/>
                      <a:headEnd/>
                      <a:tailEnd/>
                    </a:ln>
                  </pic:spPr>
                </pic:pic>
              </a:graphicData>
            </a:graphic>
          </wp:inline>
        </w:drawing>
      </w:r>
    </w:p>
    <w:p w:rsidR="00025589" w:rsidRPr="00AE35C1" w:rsidRDefault="00025589" w:rsidP="00025589">
      <w:pPr>
        <w:pStyle w:val="RDO"/>
        <w:spacing w:after="0" w:line="288" w:lineRule="auto"/>
        <w:rPr>
          <w:color w:val="000000"/>
        </w:rPr>
      </w:pPr>
      <w:r w:rsidRPr="00AE35C1">
        <w:rPr>
          <w:color w:val="000000"/>
        </w:rPr>
        <w:t xml:space="preserve">Źródło: opracowanie własne na podstawie </w:t>
      </w:r>
      <w:r w:rsidR="009D0AA8" w:rsidRPr="00AE35C1">
        <w:rPr>
          <w:color w:val="000000"/>
        </w:rPr>
        <w:t>Bazy REGON,</w:t>
      </w:r>
      <w:r w:rsidRPr="00AE35C1">
        <w:rPr>
          <w:color w:val="000000"/>
        </w:rPr>
        <w:t xml:space="preserve"> GUS.</w:t>
      </w:r>
    </w:p>
    <w:p w:rsidR="00814A82" w:rsidRPr="00AE35C1" w:rsidRDefault="0029757C" w:rsidP="005D7C7C">
      <w:pPr>
        <w:spacing w:before="120" w:after="120" w:line="288" w:lineRule="auto"/>
        <w:jc w:val="both"/>
        <w:rPr>
          <w:color w:val="000000"/>
          <w:sz w:val="19"/>
          <w:szCs w:val="19"/>
        </w:rPr>
      </w:pPr>
      <w:r w:rsidRPr="00AE35C1">
        <w:rPr>
          <w:rFonts w:cs="Arial"/>
          <w:color w:val="000000"/>
          <w:sz w:val="19"/>
          <w:szCs w:val="19"/>
        </w:rPr>
        <w:t>D</w:t>
      </w:r>
      <w:r w:rsidR="00814A82" w:rsidRPr="00AE35C1">
        <w:rPr>
          <w:rFonts w:cs="Arial"/>
          <w:color w:val="000000"/>
          <w:sz w:val="19"/>
          <w:szCs w:val="19"/>
        </w:rPr>
        <w:t xml:space="preserve">olny Śląsk należy do czołówki </w:t>
      </w:r>
      <w:r w:rsidR="00814A82" w:rsidRPr="00AE35C1">
        <w:rPr>
          <w:rFonts w:cs="Arial"/>
          <w:b/>
          <w:color w:val="000000"/>
          <w:sz w:val="19"/>
          <w:szCs w:val="19"/>
        </w:rPr>
        <w:t>eksporterów</w:t>
      </w:r>
      <w:r w:rsidR="00814A82" w:rsidRPr="00AE35C1">
        <w:rPr>
          <w:rFonts w:cs="Arial"/>
          <w:color w:val="000000"/>
          <w:sz w:val="19"/>
          <w:szCs w:val="19"/>
        </w:rPr>
        <w:t xml:space="preserve"> w Polsce – w 2014 roku zajmował 4. miejsce wśród województw pod względem wartości sprzedaży eksportowej wynoszącej 16,65 mld euro i generował ponad 10% eksportu Polski. Główne grupy towarowe eksportowane z Dolnego Śląska </w:t>
      </w:r>
      <w:r w:rsidR="00FE44A0" w:rsidRPr="00AE35C1">
        <w:rPr>
          <w:rFonts w:cs="Arial"/>
          <w:color w:val="000000"/>
          <w:sz w:val="19"/>
          <w:szCs w:val="19"/>
        </w:rPr>
        <w:t>pozostają niezmienne od lat, co </w:t>
      </w:r>
      <w:r w:rsidR="00814A82" w:rsidRPr="00AE35C1">
        <w:rPr>
          <w:rFonts w:cs="Arial"/>
          <w:color w:val="000000"/>
          <w:sz w:val="19"/>
          <w:szCs w:val="19"/>
        </w:rPr>
        <w:t xml:space="preserve">związane jest </w:t>
      </w:r>
      <w:r w:rsidR="00025589" w:rsidRPr="00AE35C1">
        <w:rPr>
          <w:rFonts w:cs="Arial"/>
          <w:color w:val="000000"/>
          <w:sz w:val="19"/>
          <w:szCs w:val="19"/>
        </w:rPr>
        <w:t xml:space="preserve">z koncentracją przemysłu </w:t>
      </w:r>
      <w:r w:rsidR="00025589" w:rsidRPr="00AE35C1">
        <w:rPr>
          <w:rFonts w:cs="Arial"/>
          <w:color w:val="000000"/>
          <w:sz w:val="19"/>
          <w:szCs w:val="19"/>
        </w:rPr>
        <w:lastRenderedPageBreak/>
        <w:t>elektromaszy</w:t>
      </w:r>
      <w:r w:rsidR="00FE44A0" w:rsidRPr="00AE35C1">
        <w:rPr>
          <w:rFonts w:cs="Arial"/>
          <w:color w:val="000000"/>
          <w:sz w:val="19"/>
          <w:szCs w:val="19"/>
        </w:rPr>
        <w:t>nowego, branży motoryzacyjnej i </w:t>
      </w:r>
      <w:r w:rsidR="00025589" w:rsidRPr="00AE35C1">
        <w:rPr>
          <w:rFonts w:cs="Arial"/>
          <w:color w:val="000000"/>
          <w:sz w:val="19"/>
          <w:szCs w:val="19"/>
        </w:rPr>
        <w:t>przemysłu miedziowego.</w:t>
      </w:r>
      <w:r w:rsidR="005D7C7C" w:rsidRPr="00AE35C1">
        <w:rPr>
          <w:rFonts w:cs="Arial"/>
          <w:color w:val="000000"/>
          <w:sz w:val="19"/>
          <w:szCs w:val="19"/>
        </w:rPr>
        <w:t xml:space="preserve"> </w:t>
      </w:r>
      <w:r w:rsidR="00025589" w:rsidRPr="00AE35C1">
        <w:rPr>
          <w:color w:val="000000"/>
          <w:sz w:val="19"/>
          <w:szCs w:val="19"/>
        </w:rPr>
        <w:t>Bardzo istotną rolę w</w:t>
      </w:r>
      <w:r w:rsidR="002949AC">
        <w:rPr>
          <w:color w:val="000000"/>
          <w:sz w:val="19"/>
          <w:szCs w:val="19"/>
        </w:rPr>
        <w:t> </w:t>
      </w:r>
      <w:r w:rsidR="00025589" w:rsidRPr="00AE35C1">
        <w:rPr>
          <w:color w:val="000000"/>
          <w:sz w:val="19"/>
          <w:szCs w:val="19"/>
        </w:rPr>
        <w:t xml:space="preserve">eksporcie regionu odgrywa </w:t>
      </w:r>
      <w:r w:rsidR="005D7C7C" w:rsidRPr="00AE35C1">
        <w:rPr>
          <w:color w:val="000000"/>
          <w:sz w:val="19"/>
          <w:szCs w:val="19"/>
        </w:rPr>
        <w:t xml:space="preserve">również </w:t>
      </w:r>
      <w:r w:rsidR="00025589" w:rsidRPr="00AE35C1">
        <w:rPr>
          <w:color w:val="000000"/>
          <w:sz w:val="19"/>
          <w:szCs w:val="19"/>
        </w:rPr>
        <w:t xml:space="preserve">przemysł wydobywczy. </w:t>
      </w:r>
      <w:r w:rsidR="004C717D" w:rsidRPr="00AE35C1">
        <w:rPr>
          <w:color w:val="000000"/>
          <w:sz w:val="19"/>
          <w:szCs w:val="19"/>
        </w:rPr>
        <w:t xml:space="preserve">Z </w:t>
      </w:r>
      <w:r w:rsidR="00025589" w:rsidRPr="00AE35C1">
        <w:rPr>
          <w:color w:val="000000"/>
          <w:sz w:val="19"/>
          <w:szCs w:val="19"/>
        </w:rPr>
        <w:t>województwa dolnośląskiego za granicę trafia 85</w:t>
      </w:r>
      <w:r w:rsidR="00FE44A0" w:rsidRPr="00AE35C1">
        <w:rPr>
          <w:color w:val="000000"/>
          <w:sz w:val="19"/>
          <w:szCs w:val="19"/>
        </w:rPr>
        <w:t>% polskiej miedzi i artykułów z </w:t>
      </w:r>
      <w:r w:rsidR="00025589" w:rsidRPr="00AE35C1">
        <w:rPr>
          <w:color w:val="000000"/>
          <w:sz w:val="19"/>
          <w:szCs w:val="19"/>
        </w:rPr>
        <w:t>miedzi, niemal 3/4 polskich kamieni i metali szlachetnych oraz wytworzonych z nich wyrobów.</w:t>
      </w:r>
      <w:r w:rsidR="005D7C7C" w:rsidRPr="00AE35C1">
        <w:rPr>
          <w:color w:val="000000"/>
          <w:sz w:val="19"/>
          <w:szCs w:val="19"/>
        </w:rPr>
        <w:t xml:space="preserve"> </w:t>
      </w:r>
      <w:r w:rsidR="00814A82" w:rsidRPr="00AE35C1">
        <w:rPr>
          <w:color w:val="000000"/>
          <w:sz w:val="19"/>
          <w:szCs w:val="19"/>
        </w:rPr>
        <w:t>Blisko 70% obrotów w</w:t>
      </w:r>
      <w:r w:rsidR="002949AC">
        <w:rPr>
          <w:color w:val="000000"/>
          <w:sz w:val="19"/>
          <w:szCs w:val="19"/>
        </w:rPr>
        <w:t> </w:t>
      </w:r>
      <w:r w:rsidR="00814A82" w:rsidRPr="00AE35C1">
        <w:rPr>
          <w:color w:val="000000"/>
          <w:sz w:val="19"/>
          <w:szCs w:val="19"/>
        </w:rPr>
        <w:t>eksporcie powstaje dzięki 5</w:t>
      </w:r>
      <w:r w:rsidR="00CB2B3D" w:rsidRPr="00AE35C1">
        <w:rPr>
          <w:color w:val="000000"/>
          <w:sz w:val="19"/>
          <w:szCs w:val="19"/>
        </w:rPr>
        <w:t> </w:t>
      </w:r>
      <w:r w:rsidR="00486601" w:rsidRPr="00AE35C1">
        <w:rPr>
          <w:color w:val="000000"/>
          <w:sz w:val="19"/>
          <w:szCs w:val="19"/>
        </w:rPr>
        <w:t>grupom towarowym: maszyny i </w:t>
      </w:r>
      <w:r w:rsidR="00814A82" w:rsidRPr="00AE35C1">
        <w:rPr>
          <w:color w:val="000000"/>
          <w:sz w:val="19"/>
          <w:szCs w:val="19"/>
        </w:rPr>
        <w:t>urządzenia mechaniczne oraz i</w:t>
      </w:r>
      <w:r w:rsidR="00486601" w:rsidRPr="00AE35C1">
        <w:rPr>
          <w:color w:val="000000"/>
          <w:sz w:val="19"/>
          <w:szCs w:val="19"/>
        </w:rPr>
        <w:t>ch części, kotły (21%), miedź i </w:t>
      </w:r>
      <w:r w:rsidR="00814A82" w:rsidRPr="00AE35C1">
        <w:rPr>
          <w:color w:val="000000"/>
          <w:sz w:val="19"/>
          <w:szCs w:val="19"/>
        </w:rPr>
        <w:t>wyroby z</w:t>
      </w:r>
      <w:r w:rsidR="00CB2B3D" w:rsidRPr="00AE35C1">
        <w:rPr>
          <w:color w:val="000000"/>
          <w:sz w:val="19"/>
          <w:szCs w:val="19"/>
        </w:rPr>
        <w:t> </w:t>
      </w:r>
      <w:r w:rsidR="00814A82" w:rsidRPr="00AE35C1">
        <w:rPr>
          <w:color w:val="000000"/>
          <w:sz w:val="19"/>
          <w:szCs w:val="19"/>
        </w:rPr>
        <w:t>miedzi (15%), maszyny i</w:t>
      </w:r>
      <w:r w:rsidR="002949AC">
        <w:rPr>
          <w:color w:val="000000"/>
          <w:sz w:val="19"/>
          <w:szCs w:val="19"/>
        </w:rPr>
        <w:t> </w:t>
      </w:r>
      <w:r w:rsidR="00B6121D" w:rsidRPr="00AE35C1">
        <w:rPr>
          <w:color w:val="000000"/>
          <w:sz w:val="19"/>
          <w:szCs w:val="19"/>
        </w:rPr>
        <w:t>urządzenia elektryczne</w:t>
      </w:r>
      <w:r w:rsidR="00FE44A0" w:rsidRPr="00AE35C1">
        <w:rPr>
          <w:color w:val="000000"/>
          <w:sz w:val="19"/>
          <w:szCs w:val="19"/>
        </w:rPr>
        <w:t xml:space="preserve"> oraz </w:t>
      </w:r>
      <w:r w:rsidR="00814A82" w:rsidRPr="00AE35C1">
        <w:rPr>
          <w:color w:val="000000"/>
          <w:sz w:val="19"/>
          <w:szCs w:val="19"/>
        </w:rPr>
        <w:t>ich części, rejestratory i</w:t>
      </w:r>
      <w:r w:rsidR="002949AC">
        <w:rPr>
          <w:color w:val="000000"/>
          <w:sz w:val="19"/>
          <w:szCs w:val="19"/>
        </w:rPr>
        <w:t> </w:t>
      </w:r>
      <w:r w:rsidR="00814A82" w:rsidRPr="00AE35C1">
        <w:rPr>
          <w:color w:val="000000"/>
          <w:sz w:val="19"/>
          <w:szCs w:val="19"/>
        </w:rPr>
        <w:t>odtwarzacze dźwi</w:t>
      </w:r>
      <w:r w:rsidR="00FE44A0" w:rsidRPr="00AE35C1">
        <w:rPr>
          <w:color w:val="000000"/>
          <w:sz w:val="19"/>
          <w:szCs w:val="19"/>
        </w:rPr>
        <w:t>ęku oraz </w:t>
      </w:r>
      <w:r w:rsidR="00814A82" w:rsidRPr="00AE35C1">
        <w:rPr>
          <w:color w:val="000000"/>
          <w:sz w:val="19"/>
          <w:szCs w:val="19"/>
        </w:rPr>
        <w:t>rejestratory i odtwarzacze obrazu i dźwięku (15%), pojaz</w:t>
      </w:r>
      <w:r w:rsidR="00486601" w:rsidRPr="00AE35C1">
        <w:rPr>
          <w:color w:val="000000"/>
          <w:sz w:val="19"/>
          <w:szCs w:val="19"/>
        </w:rPr>
        <w:t xml:space="preserve">dy </w:t>
      </w:r>
      <w:proofErr w:type="spellStart"/>
      <w:r w:rsidR="00486601" w:rsidRPr="00AE35C1">
        <w:rPr>
          <w:color w:val="000000"/>
          <w:sz w:val="19"/>
          <w:szCs w:val="19"/>
        </w:rPr>
        <w:t>nieszynowe</w:t>
      </w:r>
      <w:proofErr w:type="spellEnd"/>
      <w:r w:rsidR="00486601" w:rsidRPr="00AE35C1">
        <w:rPr>
          <w:color w:val="000000"/>
          <w:sz w:val="19"/>
          <w:szCs w:val="19"/>
        </w:rPr>
        <w:t xml:space="preserve"> oraz ich części i </w:t>
      </w:r>
      <w:r w:rsidR="00814A82" w:rsidRPr="00AE35C1">
        <w:rPr>
          <w:color w:val="000000"/>
          <w:sz w:val="19"/>
          <w:szCs w:val="19"/>
        </w:rPr>
        <w:t>akcesoria (11%), meble, pościel, materace, lampy, reklamy świetlne, budynki prefabrykowane (7%). Głównymi kierunkami dolnośląskiego eksportu w 2014 roku były: Niemcy (33,9%), Republika Czeska (10,8%), Wielka Brytania (7,1%), Francja (5,9%) i Chiny (3,8%).</w:t>
      </w:r>
    </w:p>
    <w:p w:rsidR="00472E49" w:rsidRPr="00AE35C1" w:rsidRDefault="00472E49" w:rsidP="00472E49">
      <w:pPr>
        <w:pStyle w:val="Nagwek3"/>
        <w:rPr>
          <w:rFonts w:ascii="Calibri" w:hAnsi="Calibri" w:cs="Arial"/>
          <w:b/>
          <w:sz w:val="19"/>
          <w:szCs w:val="19"/>
        </w:rPr>
      </w:pPr>
      <w:bookmarkStart w:id="41" w:name="_Toc499582770"/>
      <w:bookmarkStart w:id="42" w:name="_Toc511716315"/>
      <w:r w:rsidRPr="00AE35C1">
        <w:t>ROLNICTWO</w:t>
      </w:r>
      <w:bookmarkEnd w:id="41"/>
      <w:bookmarkEnd w:id="42"/>
    </w:p>
    <w:p w:rsidR="00472E49" w:rsidRPr="00AE35C1" w:rsidRDefault="00472E49" w:rsidP="00472E49">
      <w:pPr>
        <w:pStyle w:val="RDO"/>
        <w:spacing w:line="288" w:lineRule="auto"/>
        <w:rPr>
          <w:rFonts w:eastAsia="Calibri"/>
          <w:i w:val="0"/>
          <w:color w:val="000000"/>
          <w:sz w:val="19"/>
          <w:szCs w:val="19"/>
        </w:rPr>
      </w:pPr>
      <w:r w:rsidRPr="00AE35C1">
        <w:rPr>
          <w:rFonts w:eastAsia="Calibri"/>
          <w:b/>
          <w:i w:val="0"/>
          <w:color w:val="000000"/>
          <w:sz w:val="19"/>
          <w:szCs w:val="19"/>
        </w:rPr>
        <w:t>Produkcja rolnicza</w:t>
      </w:r>
      <w:r w:rsidRPr="00AE35C1">
        <w:rPr>
          <w:rFonts w:eastAsia="Calibri"/>
          <w:i w:val="0"/>
          <w:color w:val="000000"/>
          <w:sz w:val="19"/>
          <w:szCs w:val="19"/>
        </w:rPr>
        <w:t xml:space="preserve">, zwłaszcza roślinna, jest nadal jedną z dominujących funkcji obszarów wiejskich województwa dolnośląskiego. W 2016 roku </w:t>
      </w:r>
      <w:r w:rsidR="005D7C7C" w:rsidRPr="00AE35C1">
        <w:rPr>
          <w:rFonts w:eastAsia="Calibri"/>
          <w:b/>
          <w:i w:val="0"/>
          <w:color w:val="000000"/>
          <w:sz w:val="19"/>
          <w:szCs w:val="19"/>
        </w:rPr>
        <w:t>plony</w:t>
      </w:r>
      <w:r w:rsidR="005D7C7C" w:rsidRPr="00AE35C1">
        <w:rPr>
          <w:rFonts w:eastAsia="Calibri"/>
          <w:i w:val="0"/>
          <w:color w:val="000000"/>
          <w:sz w:val="19"/>
          <w:szCs w:val="19"/>
        </w:rPr>
        <w:t xml:space="preserve"> roślin rolniczych </w:t>
      </w:r>
      <w:r w:rsidRPr="00AE35C1">
        <w:rPr>
          <w:rFonts w:eastAsia="Calibri"/>
          <w:i w:val="0"/>
          <w:color w:val="000000"/>
          <w:sz w:val="19"/>
          <w:szCs w:val="19"/>
        </w:rPr>
        <w:t>uzyskane w województwie z  ha przewyższały średnie krajowe i stawiały Dolny Śląsk w </w:t>
      </w:r>
      <w:r w:rsidR="005D7C7C" w:rsidRPr="00AE35C1">
        <w:rPr>
          <w:rFonts w:eastAsia="Calibri"/>
          <w:i w:val="0"/>
          <w:color w:val="000000"/>
          <w:sz w:val="19"/>
          <w:szCs w:val="19"/>
        </w:rPr>
        <w:t xml:space="preserve">czołówce </w:t>
      </w:r>
      <w:r w:rsidRPr="00AE35C1">
        <w:rPr>
          <w:rFonts w:eastAsia="Calibri"/>
          <w:i w:val="0"/>
          <w:color w:val="000000"/>
          <w:sz w:val="19"/>
          <w:szCs w:val="19"/>
        </w:rPr>
        <w:t xml:space="preserve">regionów </w:t>
      </w:r>
      <w:r w:rsidR="005D7C7C" w:rsidRPr="00AE35C1">
        <w:rPr>
          <w:rFonts w:eastAsia="Calibri"/>
          <w:i w:val="0"/>
          <w:color w:val="000000"/>
          <w:sz w:val="19"/>
          <w:szCs w:val="19"/>
        </w:rPr>
        <w:t>pod tym względem</w:t>
      </w:r>
      <w:r w:rsidRPr="00AE35C1">
        <w:rPr>
          <w:rFonts w:eastAsia="Calibri"/>
          <w:i w:val="0"/>
          <w:color w:val="000000"/>
          <w:sz w:val="19"/>
          <w:szCs w:val="19"/>
        </w:rPr>
        <w:t xml:space="preserve">. Natomiast w zakresie </w:t>
      </w:r>
      <w:r w:rsidRPr="00AE35C1">
        <w:rPr>
          <w:rFonts w:eastAsia="Calibri"/>
          <w:b/>
          <w:i w:val="0"/>
          <w:color w:val="000000"/>
          <w:sz w:val="19"/>
          <w:szCs w:val="19"/>
        </w:rPr>
        <w:t xml:space="preserve">produkcji zwierzęcej </w:t>
      </w:r>
      <w:r w:rsidR="005D7C7C" w:rsidRPr="00AE35C1">
        <w:rPr>
          <w:rFonts w:eastAsia="Calibri"/>
          <w:i w:val="0"/>
          <w:color w:val="000000"/>
          <w:sz w:val="19"/>
          <w:szCs w:val="19"/>
        </w:rPr>
        <w:t xml:space="preserve">w regionie </w:t>
      </w:r>
      <w:r w:rsidRPr="00AE35C1">
        <w:rPr>
          <w:rFonts w:eastAsia="Calibri"/>
          <w:i w:val="0"/>
          <w:color w:val="000000"/>
          <w:sz w:val="19"/>
          <w:szCs w:val="19"/>
        </w:rPr>
        <w:t xml:space="preserve">od lat notuje się znacznie gorsze wyniki niż </w:t>
      </w:r>
      <w:r w:rsidR="005D7C7C" w:rsidRPr="00AE35C1">
        <w:rPr>
          <w:rFonts w:eastAsia="Calibri"/>
          <w:i w:val="0"/>
          <w:color w:val="000000"/>
          <w:sz w:val="19"/>
          <w:szCs w:val="19"/>
        </w:rPr>
        <w:t xml:space="preserve">przeciętnie </w:t>
      </w:r>
      <w:r w:rsidRPr="00AE35C1">
        <w:rPr>
          <w:rFonts w:eastAsia="Calibri"/>
          <w:i w:val="0"/>
          <w:color w:val="000000"/>
          <w:sz w:val="19"/>
          <w:szCs w:val="19"/>
        </w:rPr>
        <w:t>w</w:t>
      </w:r>
      <w:r w:rsidR="00486601" w:rsidRPr="00AE35C1">
        <w:rPr>
          <w:rFonts w:eastAsia="Calibri"/>
          <w:i w:val="0"/>
          <w:color w:val="000000"/>
          <w:sz w:val="19"/>
          <w:szCs w:val="19"/>
        </w:rPr>
        <w:t> </w:t>
      </w:r>
      <w:r w:rsidRPr="00AE35C1">
        <w:rPr>
          <w:rFonts w:eastAsia="Calibri"/>
          <w:i w:val="0"/>
          <w:color w:val="000000"/>
          <w:sz w:val="19"/>
          <w:szCs w:val="19"/>
        </w:rPr>
        <w:t>kraju. O ponad połowę niższy od średniej w</w:t>
      </w:r>
      <w:r w:rsidR="00486601" w:rsidRPr="00AE35C1">
        <w:rPr>
          <w:rFonts w:eastAsia="Calibri"/>
          <w:i w:val="0"/>
          <w:color w:val="000000"/>
          <w:sz w:val="19"/>
          <w:szCs w:val="19"/>
        </w:rPr>
        <w:t> </w:t>
      </w:r>
      <w:r w:rsidRPr="00AE35C1">
        <w:rPr>
          <w:rFonts w:eastAsia="Calibri"/>
          <w:i w:val="0"/>
          <w:color w:val="000000"/>
          <w:sz w:val="19"/>
          <w:szCs w:val="19"/>
        </w:rPr>
        <w:t>kraju pozostaje ws</w:t>
      </w:r>
      <w:r w:rsidR="00486601" w:rsidRPr="00AE35C1">
        <w:rPr>
          <w:rFonts w:eastAsia="Calibri"/>
          <w:i w:val="0"/>
          <w:color w:val="000000"/>
          <w:sz w:val="19"/>
          <w:szCs w:val="19"/>
        </w:rPr>
        <w:t>kaźnik ilości zwierząt (bydła i </w:t>
      </w:r>
      <w:r w:rsidRPr="00AE35C1">
        <w:rPr>
          <w:rFonts w:eastAsia="Calibri"/>
          <w:i w:val="0"/>
          <w:color w:val="000000"/>
          <w:sz w:val="19"/>
          <w:szCs w:val="19"/>
        </w:rPr>
        <w:t>trzody chlewnej) mierzony na 100 ha użytków rolnych.</w:t>
      </w:r>
    </w:p>
    <w:p w:rsidR="005B5388" w:rsidRDefault="001D1B69" w:rsidP="00472E49">
      <w:pPr>
        <w:pStyle w:val="RDO"/>
        <w:spacing w:line="288" w:lineRule="auto"/>
        <w:rPr>
          <w:i w:val="0"/>
          <w:color w:val="000000"/>
          <w:sz w:val="19"/>
          <w:szCs w:val="19"/>
        </w:rPr>
      </w:pPr>
      <w:r w:rsidRPr="00AE35C1">
        <w:rPr>
          <w:i w:val="0"/>
          <w:color w:val="000000"/>
          <w:sz w:val="19"/>
          <w:szCs w:val="19"/>
        </w:rPr>
        <w:t xml:space="preserve">We władaniu osób fizycznych znajduje się obecnie 69,3% zasobów użytków rolnych w województwie, z czego większość wchodzi w skład indywidualnych </w:t>
      </w:r>
      <w:r w:rsidRPr="00AE35C1">
        <w:rPr>
          <w:b/>
          <w:i w:val="0"/>
          <w:color w:val="000000"/>
          <w:sz w:val="19"/>
          <w:szCs w:val="19"/>
        </w:rPr>
        <w:t>gospodarstw rolnych</w:t>
      </w:r>
      <w:r w:rsidRPr="00AE35C1">
        <w:rPr>
          <w:i w:val="0"/>
          <w:color w:val="000000"/>
          <w:sz w:val="19"/>
          <w:szCs w:val="19"/>
        </w:rPr>
        <w:t>.</w:t>
      </w:r>
      <w:r w:rsidR="005D7C7C" w:rsidRPr="00AE35C1">
        <w:rPr>
          <w:i w:val="0"/>
          <w:color w:val="000000"/>
          <w:sz w:val="19"/>
          <w:szCs w:val="19"/>
        </w:rPr>
        <w:t xml:space="preserve"> </w:t>
      </w:r>
      <w:r w:rsidR="005B5388" w:rsidRPr="00AE35C1">
        <w:rPr>
          <w:i w:val="0"/>
          <w:color w:val="000000"/>
          <w:sz w:val="19"/>
          <w:szCs w:val="19"/>
        </w:rPr>
        <w:t xml:space="preserve">W 2016 roku funkcjonowało ich w województwie dolnośląskim 55 993, co stanowiło ok. 4% gospodarstw rolnych w Polsce, z czego 54 786 to gospodarstwa posiadające </w:t>
      </w:r>
      <w:r w:rsidR="00486601" w:rsidRPr="00AE35C1">
        <w:rPr>
          <w:i w:val="0"/>
          <w:color w:val="000000"/>
          <w:sz w:val="19"/>
          <w:szCs w:val="19"/>
        </w:rPr>
        <w:t>powyżej 1 ha użytków rolnych, a </w:t>
      </w:r>
      <w:r w:rsidR="005B5388" w:rsidRPr="00AE35C1">
        <w:rPr>
          <w:i w:val="0"/>
          <w:color w:val="000000"/>
          <w:sz w:val="19"/>
          <w:szCs w:val="19"/>
        </w:rPr>
        <w:t>1 122 to</w:t>
      </w:r>
      <w:r w:rsidR="004C717D" w:rsidRPr="00AE35C1">
        <w:rPr>
          <w:i w:val="0"/>
          <w:color w:val="000000"/>
          <w:sz w:val="19"/>
          <w:szCs w:val="19"/>
        </w:rPr>
        <w:t> </w:t>
      </w:r>
      <w:r w:rsidR="005B5388" w:rsidRPr="00AE35C1">
        <w:rPr>
          <w:i w:val="0"/>
          <w:color w:val="000000"/>
          <w:sz w:val="19"/>
          <w:szCs w:val="19"/>
        </w:rPr>
        <w:t>gospodarstwa wielkopowierzchniowe, liczące ponad 100</w:t>
      </w:r>
      <w:r w:rsidR="004C717D" w:rsidRPr="00AE35C1">
        <w:rPr>
          <w:i w:val="0"/>
          <w:color w:val="000000"/>
          <w:sz w:val="19"/>
          <w:szCs w:val="19"/>
        </w:rPr>
        <w:t> </w:t>
      </w:r>
      <w:r w:rsidR="005B5388" w:rsidRPr="00AE35C1">
        <w:rPr>
          <w:i w:val="0"/>
          <w:color w:val="000000"/>
          <w:sz w:val="19"/>
          <w:szCs w:val="19"/>
        </w:rPr>
        <w:t>ha użytków rolnych.</w:t>
      </w:r>
      <w:r w:rsidR="004931A8" w:rsidRPr="00AE35C1">
        <w:rPr>
          <w:i w:val="0"/>
          <w:color w:val="000000"/>
          <w:sz w:val="19"/>
          <w:szCs w:val="19"/>
        </w:rPr>
        <w:t xml:space="preserve"> Na Dolnym Śląsku średnia powierzchnia użytków rolnych w indywidualnym gospodarstwie rolnym, w grupie gospodarstw powyżej 1 ha, wynosi 13,2 </w:t>
      </w:r>
      <w:r w:rsidR="00FE44A0" w:rsidRPr="00AE35C1">
        <w:rPr>
          <w:i w:val="0"/>
          <w:color w:val="000000"/>
          <w:sz w:val="19"/>
          <w:szCs w:val="19"/>
        </w:rPr>
        <w:t>ha, co stawia województwo na </w:t>
      </w:r>
      <w:r w:rsidR="004931A8" w:rsidRPr="00AE35C1">
        <w:rPr>
          <w:i w:val="0"/>
          <w:color w:val="000000"/>
          <w:sz w:val="19"/>
          <w:szCs w:val="19"/>
        </w:rPr>
        <w:t>8.</w:t>
      </w:r>
      <w:r w:rsidR="000666B0" w:rsidRPr="00AE35C1">
        <w:rPr>
          <w:i w:val="0"/>
          <w:color w:val="000000"/>
          <w:sz w:val="19"/>
          <w:szCs w:val="19"/>
        </w:rPr>
        <w:t> </w:t>
      </w:r>
      <w:r w:rsidR="004931A8" w:rsidRPr="00AE35C1">
        <w:rPr>
          <w:i w:val="0"/>
          <w:color w:val="000000"/>
          <w:sz w:val="19"/>
          <w:szCs w:val="19"/>
        </w:rPr>
        <w:t>miejscu w kraju, przy średniej dla Polski wynoszącej 9,5 ha.</w:t>
      </w:r>
    </w:p>
    <w:p w:rsidR="00472E49" w:rsidRPr="00AE35C1" w:rsidRDefault="00472E49" w:rsidP="001E71C6">
      <w:pPr>
        <w:pStyle w:val="MAPA"/>
        <w:spacing w:line="288" w:lineRule="auto"/>
        <w:ind w:left="851" w:hanging="851"/>
        <w:jc w:val="both"/>
      </w:pPr>
      <w:bookmarkStart w:id="43" w:name="_Toc478369753"/>
      <w:r w:rsidRPr="00AE35C1">
        <w:t xml:space="preserve">WYKRES </w:t>
      </w:r>
      <w:r w:rsidR="00E6670D" w:rsidRPr="00AE35C1">
        <w:fldChar w:fldCharType="begin"/>
      </w:r>
      <w:r w:rsidRPr="00AE35C1">
        <w:instrText xml:space="preserve"> SEQ WYKRES \* ARABIC </w:instrText>
      </w:r>
      <w:r w:rsidR="00E6670D" w:rsidRPr="00AE35C1">
        <w:fldChar w:fldCharType="separate"/>
      </w:r>
      <w:r w:rsidR="0013522B">
        <w:t>1</w:t>
      </w:r>
      <w:r w:rsidR="00E6670D" w:rsidRPr="00AE35C1">
        <w:fldChar w:fldCharType="end"/>
      </w:r>
      <w:r w:rsidRPr="00AE35C1">
        <w:t>. Wyniki produkcji zwierzęcej w</w:t>
      </w:r>
      <w:r w:rsidR="001D1B69" w:rsidRPr="00AE35C1">
        <w:t> </w:t>
      </w:r>
      <w:r w:rsidR="00D171AB" w:rsidRPr="00AE35C1">
        <w:t>wO</w:t>
      </w:r>
      <w:r w:rsidRPr="00AE35C1">
        <w:t>jewództwach w Polsce [2016].</w:t>
      </w:r>
      <w:bookmarkEnd w:id="43"/>
    </w:p>
    <w:p w:rsidR="00472E49" w:rsidRPr="00AE35C1" w:rsidRDefault="0055701D" w:rsidP="001D1B69">
      <w:pPr>
        <w:spacing w:after="0" w:line="288" w:lineRule="auto"/>
        <w:jc w:val="both"/>
        <w:rPr>
          <w:rFonts w:cs="Calibri"/>
          <w:color w:val="000000"/>
          <w:sz w:val="19"/>
          <w:szCs w:val="19"/>
        </w:rPr>
      </w:pPr>
      <w:r>
        <w:rPr>
          <w:noProof/>
          <w:color w:val="000000"/>
          <w:lang w:eastAsia="pl-PL"/>
        </w:rPr>
        <w:lastRenderedPageBreak/>
        <w:drawing>
          <wp:inline distT="0" distB="0" distL="0" distR="0">
            <wp:extent cx="2619375" cy="2286000"/>
            <wp:effectExtent l="0" t="0" r="0" b="0"/>
            <wp:docPr id="31" name="Wykres 6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6547"/>
                    <pic:cNvPicPr>
                      <a:picLocks noChangeArrowheads="1"/>
                    </pic:cNvPicPr>
                  </pic:nvPicPr>
                  <pic:blipFill>
                    <a:blip r:embed="rId62" cstate="print"/>
                    <a:srcRect l="-5873" t="-2234" r="-3748" b="-2234"/>
                    <a:stretch>
                      <a:fillRect/>
                    </a:stretch>
                  </pic:blipFill>
                  <pic:spPr bwMode="auto">
                    <a:xfrm>
                      <a:off x="0" y="0"/>
                      <a:ext cx="2619375" cy="2286000"/>
                    </a:xfrm>
                    <a:prstGeom prst="rect">
                      <a:avLst/>
                    </a:prstGeom>
                    <a:noFill/>
                    <a:ln w="9525">
                      <a:noFill/>
                      <a:miter lim="800000"/>
                      <a:headEnd/>
                      <a:tailEnd/>
                    </a:ln>
                  </pic:spPr>
                </pic:pic>
              </a:graphicData>
            </a:graphic>
          </wp:inline>
        </w:drawing>
      </w:r>
    </w:p>
    <w:p w:rsidR="00472E49" w:rsidRPr="00AE35C1" w:rsidRDefault="0055701D" w:rsidP="00472E49">
      <w:pPr>
        <w:spacing w:after="0" w:line="288" w:lineRule="auto"/>
        <w:jc w:val="both"/>
        <w:rPr>
          <w:rFonts w:cs="Calibri"/>
          <w:color w:val="000000"/>
          <w:sz w:val="19"/>
          <w:szCs w:val="19"/>
        </w:rPr>
      </w:pPr>
      <w:r>
        <w:rPr>
          <w:noProof/>
          <w:color w:val="000000"/>
          <w:lang w:eastAsia="pl-PL"/>
        </w:rPr>
        <w:drawing>
          <wp:inline distT="0" distB="0" distL="0" distR="0">
            <wp:extent cx="2619375" cy="2524125"/>
            <wp:effectExtent l="0" t="0" r="0" b="0"/>
            <wp:docPr id="32" name="Wykres 6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ykres 6532"/>
                    <pic:cNvPicPr>
                      <a:picLocks noChangeArrowheads="1"/>
                    </pic:cNvPicPr>
                  </pic:nvPicPr>
                  <pic:blipFill>
                    <a:blip r:embed="rId63" cstate="print"/>
                    <a:srcRect l="-5933" t="-2052" r="-4805" b="-3864"/>
                    <a:stretch>
                      <a:fillRect/>
                    </a:stretch>
                  </pic:blipFill>
                  <pic:spPr bwMode="auto">
                    <a:xfrm>
                      <a:off x="0" y="0"/>
                      <a:ext cx="2619375" cy="2524125"/>
                    </a:xfrm>
                    <a:prstGeom prst="rect">
                      <a:avLst/>
                    </a:prstGeom>
                    <a:noFill/>
                    <a:ln w="9525">
                      <a:noFill/>
                      <a:miter lim="800000"/>
                      <a:headEnd/>
                      <a:tailEnd/>
                    </a:ln>
                  </pic:spPr>
                </pic:pic>
              </a:graphicData>
            </a:graphic>
          </wp:inline>
        </w:drawing>
      </w:r>
    </w:p>
    <w:p w:rsidR="00472E49" w:rsidRPr="00AE35C1" w:rsidRDefault="00472E49" w:rsidP="001D1B69">
      <w:pPr>
        <w:pStyle w:val="RDO"/>
        <w:spacing w:line="288" w:lineRule="auto"/>
        <w:rPr>
          <w:color w:val="000000"/>
        </w:rPr>
      </w:pPr>
      <w:r w:rsidRPr="00AE35C1">
        <w:rPr>
          <w:color w:val="000000"/>
        </w:rPr>
        <w:t>Źródło: opracowanie własne na podstawie danych GUS.</w:t>
      </w:r>
    </w:p>
    <w:p w:rsidR="00FE44A0" w:rsidRPr="00AE35C1" w:rsidRDefault="001D1B69" w:rsidP="005728D9">
      <w:pPr>
        <w:pStyle w:val="RDO"/>
        <w:spacing w:after="240" w:line="288" w:lineRule="auto"/>
        <w:rPr>
          <w:i w:val="0"/>
          <w:color w:val="000000"/>
          <w:sz w:val="19"/>
          <w:szCs w:val="19"/>
        </w:rPr>
      </w:pPr>
      <w:r w:rsidRPr="00AE35C1">
        <w:rPr>
          <w:i w:val="0"/>
          <w:color w:val="000000"/>
          <w:sz w:val="19"/>
          <w:szCs w:val="19"/>
        </w:rPr>
        <w:t xml:space="preserve">W latach 2010-2016 nastąpił w regionie spadek zainteresowania prowadzeniem </w:t>
      </w:r>
      <w:r w:rsidRPr="00AE35C1">
        <w:rPr>
          <w:b/>
          <w:i w:val="0"/>
          <w:color w:val="000000"/>
          <w:sz w:val="19"/>
          <w:szCs w:val="19"/>
        </w:rPr>
        <w:t>produkcji ekologicznej</w:t>
      </w:r>
      <w:r w:rsidRPr="00AE35C1">
        <w:rPr>
          <w:i w:val="0"/>
          <w:color w:val="000000"/>
          <w:sz w:val="19"/>
          <w:szCs w:val="19"/>
        </w:rPr>
        <w:t xml:space="preserve">. Od 2010 roku ilość gospodarstw ekologicznych spadła o 414 i obecnie wynosi 813 (11. miejsce w kraju), zajmując powierzchnię 5 346 ha użytków rolnych (8. miejsce w kraju). </w:t>
      </w:r>
      <w:r w:rsidR="005D7C7C" w:rsidRPr="00AE35C1">
        <w:rPr>
          <w:i w:val="0"/>
          <w:color w:val="000000"/>
          <w:sz w:val="19"/>
          <w:szCs w:val="19"/>
        </w:rPr>
        <w:t>Natomiast w</w:t>
      </w:r>
      <w:r w:rsidRPr="00AE35C1">
        <w:rPr>
          <w:i w:val="0"/>
          <w:color w:val="000000"/>
          <w:sz w:val="19"/>
          <w:szCs w:val="19"/>
        </w:rPr>
        <w:t xml:space="preserve"> Polsce od 2010 do 2016 roku liczba gospodarstw ekologicznych wzrosła z 20 582 do 22 435.</w:t>
      </w:r>
      <w:r w:rsidR="005728D9" w:rsidRPr="00AE35C1">
        <w:rPr>
          <w:i w:val="0"/>
          <w:color w:val="000000"/>
          <w:sz w:val="19"/>
          <w:szCs w:val="19"/>
        </w:rPr>
        <w:t xml:space="preserve"> </w:t>
      </w:r>
      <w:bookmarkStart w:id="44" w:name="_Toc499582771"/>
    </w:p>
    <w:p w:rsidR="00472E49" w:rsidRPr="00AE35C1" w:rsidRDefault="00472E49" w:rsidP="005728D9">
      <w:pPr>
        <w:pStyle w:val="Nagwek3"/>
      </w:pPr>
      <w:bookmarkStart w:id="45" w:name="_Toc511716316"/>
      <w:r w:rsidRPr="00AE35C1">
        <w:t>PRZEMYSŁ I GÓRNICTWO</w:t>
      </w:r>
      <w:bookmarkEnd w:id="44"/>
      <w:bookmarkEnd w:id="45"/>
    </w:p>
    <w:p w:rsidR="005B5388" w:rsidRPr="00AE35C1" w:rsidRDefault="00EB659A" w:rsidP="00472E49">
      <w:pPr>
        <w:spacing w:before="120" w:after="120" w:line="288" w:lineRule="auto"/>
        <w:jc w:val="both"/>
        <w:rPr>
          <w:rFonts w:cs="Arial"/>
          <w:color w:val="000000"/>
          <w:sz w:val="19"/>
          <w:szCs w:val="19"/>
        </w:rPr>
      </w:pPr>
      <w:r w:rsidRPr="00AE35C1">
        <w:rPr>
          <w:rFonts w:cs="Arial"/>
          <w:color w:val="000000"/>
          <w:sz w:val="19"/>
          <w:szCs w:val="19"/>
        </w:rPr>
        <w:t>Na Dolnym Śląsku w 2016</w:t>
      </w:r>
      <w:r w:rsidR="00472E49" w:rsidRPr="00AE35C1">
        <w:rPr>
          <w:rFonts w:cs="Arial"/>
          <w:color w:val="000000"/>
          <w:sz w:val="19"/>
          <w:szCs w:val="19"/>
        </w:rPr>
        <w:t xml:space="preserve"> roku funkcjonowało 26</w:t>
      </w:r>
      <w:r w:rsidR="00160008" w:rsidRPr="00AE35C1">
        <w:rPr>
          <w:rFonts w:cs="Arial"/>
          <w:color w:val="000000"/>
          <w:sz w:val="19"/>
          <w:szCs w:val="19"/>
        </w:rPr>
        <w:t> </w:t>
      </w:r>
      <w:r w:rsidR="00472E49" w:rsidRPr="00AE35C1">
        <w:rPr>
          <w:rFonts w:cs="Arial"/>
          <w:color w:val="000000"/>
          <w:sz w:val="19"/>
          <w:szCs w:val="19"/>
        </w:rPr>
        <w:t xml:space="preserve">754 </w:t>
      </w:r>
      <w:r w:rsidR="00472E49" w:rsidRPr="00AE35C1">
        <w:rPr>
          <w:rFonts w:cs="Arial"/>
          <w:b/>
          <w:color w:val="000000"/>
          <w:sz w:val="19"/>
          <w:szCs w:val="19"/>
        </w:rPr>
        <w:t>podmiotów przetwórstwa przemysłowego</w:t>
      </w:r>
      <w:r w:rsidR="00472E49" w:rsidRPr="00AE35C1">
        <w:rPr>
          <w:rFonts w:cs="Arial"/>
          <w:color w:val="000000"/>
          <w:sz w:val="19"/>
          <w:szCs w:val="19"/>
        </w:rPr>
        <w:t xml:space="preserve"> (sekcja C) oraz 41 604 związanych z </w:t>
      </w:r>
      <w:r w:rsidR="00472E49" w:rsidRPr="00AE35C1">
        <w:rPr>
          <w:rFonts w:cs="Arial"/>
          <w:b/>
          <w:color w:val="000000"/>
          <w:sz w:val="19"/>
          <w:szCs w:val="19"/>
        </w:rPr>
        <w:t xml:space="preserve">budownictwem </w:t>
      </w:r>
      <w:r w:rsidR="00472E49" w:rsidRPr="00AE35C1">
        <w:rPr>
          <w:rFonts w:cs="Arial"/>
          <w:color w:val="000000"/>
          <w:sz w:val="19"/>
          <w:szCs w:val="19"/>
        </w:rPr>
        <w:t xml:space="preserve">(sekcja F). Odpowiednio stanowiło to 7,1% i 8,4% tego typu firm w całym kraju. Wzrost liczby podmiotów w stosunku do 2010 roku wystąpił w obu wskazanych sekcjach. </w:t>
      </w:r>
      <w:r w:rsidR="00472E49" w:rsidRPr="00AE35C1">
        <w:rPr>
          <w:rFonts w:cs="Arial"/>
          <w:b/>
          <w:color w:val="000000"/>
          <w:sz w:val="19"/>
          <w:szCs w:val="19"/>
        </w:rPr>
        <w:t>Produkcja sprzedana przemysłu</w:t>
      </w:r>
      <w:r w:rsidR="00472E49" w:rsidRPr="00AE35C1">
        <w:rPr>
          <w:rFonts w:cs="Arial"/>
          <w:color w:val="000000"/>
          <w:sz w:val="19"/>
          <w:szCs w:val="19"/>
        </w:rPr>
        <w:t xml:space="preserve"> w 2015 roku kształtował</w:t>
      </w:r>
      <w:r w:rsidR="002949AC">
        <w:rPr>
          <w:rFonts w:cs="Arial"/>
          <w:color w:val="000000"/>
          <w:sz w:val="19"/>
          <w:szCs w:val="19"/>
        </w:rPr>
        <w:t>a się na poziomie 113 883,4 mln </w:t>
      </w:r>
      <w:r w:rsidR="00472E49" w:rsidRPr="00AE35C1">
        <w:rPr>
          <w:rFonts w:cs="Arial"/>
          <w:color w:val="000000"/>
          <w:sz w:val="19"/>
          <w:szCs w:val="19"/>
        </w:rPr>
        <w:t>zł (w przel</w:t>
      </w:r>
      <w:r w:rsidR="0098622B" w:rsidRPr="00AE35C1">
        <w:rPr>
          <w:rFonts w:cs="Arial"/>
          <w:color w:val="000000"/>
          <w:sz w:val="19"/>
          <w:szCs w:val="19"/>
        </w:rPr>
        <w:t>iczeniu na mieszkańca było to </w:t>
      </w:r>
      <w:r w:rsidR="00472E49" w:rsidRPr="00AE35C1">
        <w:rPr>
          <w:rFonts w:cs="Arial"/>
          <w:color w:val="000000"/>
          <w:sz w:val="19"/>
          <w:szCs w:val="19"/>
        </w:rPr>
        <w:t xml:space="preserve">39 198 zł). Wartość ta stanowiła 9,1% całości produkcji sprzedanej przemysłu w Polsce, natomiast wartość sprzedana </w:t>
      </w:r>
      <w:r w:rsidR="00472E49" w:rsidRPr="00AE35C1">
        <w:rPr>
          <w:rFonts w:cs="Arial"/>
          <w:color w:val="000000"/>
          <w:sz w:val="19"/>
          <w:szCs w:val="19"/>
        </w:rPr>
        <w:lastRenderedPageBreak/>
        <w:t>przemysłu per capita osiągnęła 120% przeciętnej wartości krajowej (4. miejsce w Polsce) i wzrosła od 2010 roku o 28%.</w:t>
      </w:r>
    </w:p>
    <w:p w:rsidR="00B979CE" w:rsidRPr="00AE35C1" w:rsidRDefault="0098622B" w:rsidP="00B979CE">
      <w:pPr>
        <w:spacing w:before="120" w:after="120" w:line="288" w:lineRule="auto"/>
        <w:jc w:val="both"/>
        <w:rPr>
          <w:rFonts w:cs="Arial"/>
          <w:color w:val="000000"/>
          <w:sz w:val="19"/>
          <w:szCs w:val="19"/>
        </w:rPr>
      </w:pPr>
      <w:r w:rsidRPr="00AE35C1">
        <w:rPr>
          <w:rFonts w:cs="Arial"/>
          <w:color w:val="000000"/>
          <w:sz w:val="19"/>
          <w:szCs w:val="19"/>
        </w:rPr>
        <w:t xml:space="preserve">Wydobycie </w:t>
      </w:r>
      <w:r w:rsidRPr="00AE35C1">
        <w:rPr>
          <w:rFonts w:cs="Arial"/>
          <w:b/>
          <w:color w:val="000000"/>
          <w:sz w:val="19"/>
          <w:szCs w:val="19"/>
        </w:rPr>
        <w:t>węgla brunatnego</w:t>
      </w:r>
      <w:r w:rsidRPr="00AE35C1">
        <w:rPr>
          <w:rFonts w:cs="Arial"/>
          <w:color w:val="000000"/>
          <w:sz w:val="19"/>
          <w:szCs w:val="19"/>
        </w:rPr>
        <w:t xml:space="preserve"> w 2016 roku wyniosło 7 533 mln ton, co stanowiło 12,5% produkcji krajowej i w ostatnich 3 latach utrzymuje się na stałym poziomie. Wydobycie </w:t>
      </w:r>
      <w:r w:rsidRPr="00AE35C1">
        <w:rPr>
          <w:rFonts w:cs="Arial"/>
          <w:b/>
          <w:color w:val="000000"/>
          <w:sz w:val="19"/>
          <w:szCs w:val="19"/>
        </w:rPr>
        <w:t>gazu ziemnego</w:t>
      </w:r>
      <w:r w:rsidRPr="00AE35C1">
        <w:rPr>
          <w:rFonts w:cs="Arial"/>
          <w:color w:val="000000"/>
          <w:sz w:val="19"/>
          <w:szCs w:val="19"/>
        </w:rPr>
        <w:t xml:space="preserve"> ze złóż zlokalizowanych na Dolnym Śląsku wzrosło od 2010 roku o 35% do 973,41 mln m</w:t>
      </w:r>
      <w:r w:rsidRPr="00AE35C1">
        <w:rPr>
          <w:rFonts w:cs="Arial"/>
          <w:color w:val="000000"/>
          <w:sz w:val="19"/>
          <w:szCs w:val="19"/>
          <w:vertAlign w:val="superscript"/>
        </w:rPr>
        <w:t>3</w:t>
      </w:r>
      <w:r w:rsidRPr="00AE35C1">
        <w:rPr>
          <w:rFonts w:cs="Arial"/>
          <w:color w:val="000000"/>
          <w:sz w:val="19"/>
          <w:szCs w:val="19"/>
        </w:rPr>
        <w:t xml:space="preserve"> i stanowi około 18-19% </w:t>
      </w:r>
      <w:r w:rsidR="00152965" w:rsidRPr="00AE35C1">
        <w:rPr>
          <w:rFonts w:cs="Arial"/>
          <w:color w:val="000000"/>
          <w:sz w:val="19"/>
          <w:szCs w:val="19"/>
        </w:rPr>
        <w:t xml:space="preserve">wydobycia </w:t>
      </w:r>
      <w:r w:rsidRPr="00AE35C1">
        <w:rPr>
          <w:rFonts w:cs="Arial"/>
          <w:color w:val="000000"/>
          <w:sz w:val="19"/>
          <w:szCs w:val="19"/>
        </w:rPr>
        <w:t>krajowe</w:t>
      </w:r>
      <w:r w:rsidR="00152965" w:rsidRPr="00AE35C1">
        <w:rPr>
          <w:rFonts w:cs="Arial"/>
          <w:color w:val="000000"/>
          <w:sz w:val="19"/>
          <w:szCs w:val="19"/>
        </w:rPr>
        <w:t>go</w:t>
      </w:r>
      <w:r w:rsidRPr="00AE35C1">
        <w:rPr>
          <w:rFonts w:cs="Arial"/>
          <w:color w:val="000000"/>
          <w:sz w:val="19"/>
          <w:szCs w:val="19"/>
        </w:rPr>
        <w:t xml:space="preserve">. </w:t>
      </w:r>
      <w:r w:rsidR="00551056" w:rsidRPr="00AE35C1">
        <w:rPr>
          <w:rFonts w:cs="Arial"/>
          <w:color w:val="000000"/>
          <w:sz w:val="19"/>
          <w:szCs w:val="19"/>
        </w:rPr>
        <w:t>W j</w:t>
      </w:r>
      <w:r w:rsidRPr="00AE35C1">
        <w:rPr>
          <w:rFonts w:cs="Arial"/>
          <w:color w:val="000000"/>
          <w:sz w:val="19"/>
          <w:szCs w:val="19"/>
        </w:rPr>
        <w:t>edyn</w:t>
      </w:r>
      <w:r w:rsidR="00551056" w:rsidRPr="00AE35C1">
        <w:rPr>
          <w:rFonts w:cs="Arial"/>
          <w:color w:val="000000"/>
          <w:sz w:val="19"/>
          <w:szCs w:val="19"/>
        </w:rPr>
        <w:t>ych</w:t>
      </w:r>
      <w:r w:rsidRPr="00AE35C1">
        <w:rPr>
          <w:rFonts w:cs="Arial"/>
          <w:color w:val="000000"/>
          <w:sz w:val="19"/>
          <w:szCs w:val="19"/>
        </w:rPr>
        <w:t xml:space="preserve"> w Polsce dolnośląski</w:t>
      </w:r>
      <w:r w:rsidR="00551056" w:rsidRPr="00AE35C1">
        <w:rPr>
          <w:rFonts w:cs="Arial"/>
          <w:color w:val="000000"/>
          <w:sz w:val="19"/>
          <w:szCs w:val="19"/>
        </w:rPr>
        <w:t>ch</w:t>
      </w:r>
      <w:r w:rsidRPr="00AE35C1">
        <w:rPr>
          <w:rFonts w:cs="Arial"/>
          <w:color w:val="000000"/>
          <w:sz w:val="19"/>
          <w:szCs w:val="19"/>
        </w:rPr>
        <w:t xml:space="preserve"> kopalni</w:t>
      </w:r>
      <w:r w:rsidR="00551056" w:rsidRPr="00AE35C1">
        <w:rPr>
          <w:rFonts w:cs="Arial"/>
          <w:color w:val="000000"/>
          <w:sz w:val="19"/>
          <w:szCs w:val="19"/>
        </w:rPr>
        <w:t>ach</w:t>
      </w:r>
      <w:r w:rsidRPr="00AE35C1">
        <w:rPr>
          <w:rFonts w:cs="Arial"/>
          <w:color w:val="000000"/>
          <w:sz w:val="19"/>
          <w:szCs w:val="19"/>
        </w:rPr>
        <w:t xml:space="preserve"> </w:t>
      </w:r>
      <w:r w:rsidRPr="00AE35C1">
        <w:rPr>
          <w:rFonts w:cs="Arial"/>
          <w:b/>
          <w:color w:val="000000"/>
          <w:sz w:val="19"/>
          <w:szCs w:val="19"/>
        </w:rPr>
        <w:t>rud miedzi</w:t>
      </w:r>
      <w:r w:rsidR="00551056" w:rsidRPr="00AE35C1">
        <w:rPr>
          <w:rFonts w:cs="Arial"/>
          <w:b/>
          <w:color w:val="000000"/>
          <w:sz w:val="19"/>
          <w:szCs w:val="19"/>
        </w:rPr>
        <w:t xml:space="preserve">, </w:t>
      </w:r>
      <w:r w:rsidR="00551056" w:rsidRPr="00AE35C1">
        <w:rPr>
          <w:rFonts w:cs="Arial"/>
          <w:color w:val="000000"/>
          <w:sz w:val="19"/>
          <w:szCs w:val="19"/>
        </w:rPr>
        <w:t>będących</w:t>
      </w:r>
      <w:r w:rsidRPr="00AE35C1">
        <w:rPr>
          <w:rFonts w:cs="Arial"/>
          <w:color w:val="000000"/>
          <w:sz w:val="19"/>
          <w:szCs w:val="19"/>
        </w:rPr>
        <w:t xml:space="preserve"> największymi kopalniami w Europie</w:t>
      </w:r>
      <w:r w:rsidR="00551056" w:rsidRPr="00AE35C1">
        <w:rPr>
          <w:rFonts w:cs="Arial"/>
          <w:color w:val="000000"/>
          <w:sz w:val="19"/>
          <w:szCs w:val="19"/>
        </w:rPr>
        <w:t>,</w:t>
      </w:r>
      <w:r w:rsidRPr="00AE35C1">
        <w:rPr>
          <w:rFonts w:cs="Arial"/>
          <w:color w:val="000000"/>
          <w:sz w:val="19"/>
          <w:szCs w:val="19"/>
        </w:rPr>
        <w:t xml:space="preserve"> </w:t>
      </w:r>
      <w:r w:rsidR="00551056" w:rsidRPr="00AE35C1">
        <w:rPr>
          <w:rFonts w:cs="Arial"/>
          <w:color w:val="000000"/>
          <w:sz w:val="19"/>
          <w:szCs w:val="19"/>
        </w:rPr>
        <w:t>w</w:t>
      </w:r>
      <w:r w:rsidRPr="00AE35C1">
        <w:rPr>
          <w:rFonts w:cs="Arial"/>
          <w:color w:val="000000"/>
          <w:sz w:val="19"/>
          <w:szCs w:val="19"/>
        </w:rPr>
        <w:t xml:space="preserve"> latach 2010-2016 odnotowano wzrost wydobycia rudy miedzi (o 42,5%) przy jednoczesnym spadku zawartości Cu w rudzie (do 1,5%). Wydobycie </w:t>
      </w:r>
      <w:r w:rsidRPr="00AE35C1">
        <w:rPr>
          <w:rFonts w:cs="Arial"/>
          <w:b/>
          <w:color w:val="000000"/>
          <w:sz w:val="19"/>
          <w:szCs w:val="19"/>
        </w:rPr>
        <w:t>kamieni łamanych i </w:t>
      </w:r>
      <w:proofErr w:type="spellStart"/>
      <w:r w:rsidRPr="00AE35C1">
        <w:rPr>
          <w:rFonts w:cs="Arial"/>
          <w:b/>
          <w:color w:val="000000"/>
          <w:sz w:val="19"/>
          <w:szCs w:val="19"/>
        </w:rPr>
        <w:t>blocznych</w:t>
      </w:r>
      <w:proofErr w:type="spellEnd"/>
      <w:r w:rsidRPr="00AE35C1">
        <w:rPr>
          <w:rFonts w:cs="Arial"/>
          <w:color w:val="000000"/>
          <w:sz w:val="19"/>
          <w:szCs w:val="19"/>
        </w:rPr>
        <w:t xml:space="preserve"> ogółem rosło do 2011 roku, kiedy to osiągnęło rekordowy poziom 38</w:t>
      </w:r>
      <w:r w:rsidR="002949AC">
        <w:rPr>
          <w:rFonts w:cs="Arial"/>
          <w:color w:val="000000"/>
          <w:sz w:val="19"/>
          <w:szCs w:val="19"/>
        </w:rPr>
        <w:t> </w:t>
      </w:r>
      <w:r w:rsidRPr="00AE35C1">
        <w:rPr>
          <w:rFonts w:cs="Arial"/>
          <w:color w:val="000000"/>
          <w:sz w:val="19"/>
          <w:szCs w:val="19"/>
        </w:rPr>
        <w:t xml:space="preserve">727 tys. ton. W 2012 roku spadło o 27,3% do poziomu z 2010 roku i obecnie (2016) utrzymuje się na poziomie 25-26 mln ton rocznie, co stanowi 43,1% krajowego wydobycia ogółem. Udział dolnośląskich </w:t>
      </w:r>
      <w:r w:rsidRPr="00AE35C1">
        <w:rPr>
          <w:rFonts w:cs="Arial"/>
          <w:b/>
          <w:color w:val="000000"/>
          <w:sz w:val="19"/>
          <w:szCs w:val="19"/>
        </w:rPr>
        <w:t>magmowych i metamorficznych kamieni łamanych i </w:t>
      </w:r>
      <w:proofErr w:type="spellStart"/>
      <w:r w:rsidRPr="00AE35C1">
        <w:rPr>
          <w:rFonts w:cs="Arial"/>
          <w:b/>
          <w:color w:val="000000"/>
          <w:sz w:val="19"/>
          <w:szCs w:val="19"/>
        </w:rPr>
        <w:t>blocznych</w:t>
      </w:r>
      <w:proofErr w:type="spellEnd"/>
      <w:r w:rsidRPr="00AE35C1">
        <w:rPr>
          <w:rFonts w:cs="Arial"/>
          <w:b/>
          <w:color w:val="000000"/>
          <w:sz w:val="19"/>
          <w:szCs w:val="19"/>
        </w:rPr>
        <w:t xml:space="preserve"> </w:t>
      </w:r>
      <w:r w:rsidRPr="00AE35C1">
        <w:rPr>
          <w:rFonts w:cs="Arial"/>
          <w:color w:val="000000"/>
          <w:sz w:val="19"/>
          <w:szCs w:val="19"/>
        </w:rPr>
        <w:t>w produkcji krajowej to 98%.</w:t>
      </w:r>
    </w:p>
    <w:p w:rsidR="005728D9" w:rsidRPr="00AE35C1" w:rsidRDefault="005728D9" w:rsidP="00455F65">
      <w:pPr>
        <w:spacing w:before="200" w:after="60" w:line="288" w:lineRule="auto"/>
        <w:jc w:val="both"/>
        <w:rPr>
          <w:rFonts w:ascii="Calibri Light" w:eastAsia="Times New Roman" w:hAnsi="Calibri Light"/>
          <w:caps/>
          <w:color w:val="000000"/>
          <w:sz w:val="20"/>
          <w:szCs w:val="20"/>
          <w:lang w:eastAsia="pl-PL"/>
        </w:rPr>
      </w:pPr>
      <w:r w:rsidRPr="00AE35C1">
        <w:rPr>
          <w:rFonts w:ascii="Calibri Light" w:eastAsia="Times New Roman" w:hAnsi="Calibri Light"/>
          <w:caps/>
          <w:color w:val="000000"/>
          <w:sz w:val="20"/>
          <w:szCs w:val="20"/>
          <w:lang w:eastAsia="pl-PL"/>
        </w:rPr>
        <w:t>MARK</w:t>
      </w:r>
      <w:r w:rsidR="00692545" w:rsidRPr="00AE35C1">
        <w:rPr>
          <w:rFonts w:ascii="Calibri Light" w:eastAsia="Times New Roman" w:hAnsi="Calibri Light"/>
          <w:caps/>
          <w:color w:val="000000"/>
          <w:sz w:val="20"/>
          <w:szCs w:val="20"/>
          <w:lang w:eastAsia="pl-PL"/>
        </w:rPr>
        <w:t>A</w:t>
      </w:r>
      <w:r w:rsidRPr="00AE35C1">
        <w:rPr>
          <w:rFonts w:ascii="Calibri Light" w:eastAsia="Times New Roman" w:hAnsi="Calibri Light"/>
          <w:caps/>
          <w:color w:val="000000"/>
          <w:sz w:val="20"/>
          <w:szCs w:val="20"/>
          <w:lang w:eastAsia="pl-PL"/>
        </w:rPr>
        <w:t xml:space="preserve"> PRODUKTÓW REGIONALNYCH</w:t>
      </w:r>
    </w:p>
    <w:p w:rsidR="00692545" w:rsidRPr="00AE35C1" w:rsidRDefault="00692545" w:rsidP="00455F65">
      <w:pPr>
        <w:spacing w:before="60" w:after="120" w:line="288" w:lineRule="auto"/>
        <w:jc w:val="both"/>
        <w:rPr>
          <w:rFonts w:cs="Arial"/>
          <w:color w:val="000000"/>
          <w:sz w:val="19"/>
          <w:szCs w:val="19"/>
        </w:rPr>
      </w:pPr>
      <w:bookmarkStart w:id="46" w:name="_Hlk504655087"/>
      <w:r w:rsidRPr="00AE35C1">
        <w:rPr>
          <w:rFonts w:cs="Arial"/>
          <w:color w:val="000000"/>
          <w:sz w:val="19"/>
          <w:szCs w:val="19"/>
        </w:rPr>
        <w:t xml:space="preserve">Dolny Śląsk to miejsce pochodzenia wielu znanych marek, zarówno tych najsilniej postrzeganych </w:t>
      </w:r>
      <w:r w:rsidRPr="00AE35C1">
        <w:rPr>
          <w:rFonts w:cs="Arial"/>
          <w:color w:val="000000"/>
          <w:sz w:val="19"/>
          <w:szCs w:val="19"/>
        </w:rPr>
        <w:br/>
        <w:t>na rynku: produktowych i usługowych</w:t>
      </w:r>
      <w:r w:rsidR="002050A7">
        <w:rPr>
          <w:rFonts w:cs="Arial"/>
          <w:color w:val="000000"/>
          <w:sz w:val="19"/>
          <w:szCs w:val="19"/>
        </w:rPr>
        <w:t xml:space="preserve"> </w:t>
      </w:r>
      <w:r w:rsidRPr="00AE35C1">
        <w:rPr>
          <w:rFonts w:cs="Arial"/>
          <w:color w:val="000000"/>
          <w:sz w:val="19"/>
          <w:szCs w:val="19"/>
        </w:rPr>
        <w:t xml:space="preserve">oraz renomy miejsc i wydarzeń. Województwo dolnośląskie charakteryzuje się bogactwem zasobów przyrodniczych oraz mnogością surowców. To na ich bazie swoje pozycje budują KGHM, Uzdrowiska Dolnośląskie, producenci granitu, wód mineralnych czy ceramiki i szkła kryształowego oraz porcelany (Staropolanka, Ceramika </w:t>
      </w:r>
      <w:r w:rsidRPr="00AE35C1">
        <w:rPr>
          <w:rFonts w:cs="Arial"/>
          <w:color w:val="000000"/>
          <w:sz w:val="19"/>
          <w:szCs w:val="19"/>
        </w:rPr>
        <w:lastRenderedPageBreak/>
        <w:t xml:space="preserve">Bolesławiecka, Huta Szkła Julia czy producenci kosmetyków: </w:t>
      </w:r>
      <w:proofErr w:type="spellStart"/>
      <w:r w:rsidRPr="00AE35C1">
        <w:rPr>
          <w:rFonts w:cs="Arial"/>
          <w:color w:val="000000"/>
          <w:sz w:val="19"/>
          <w:szCs w:val="19"/>
        </w:rPr>
        <w:t>Tołpa</w:t>
      </w:r>
      <w:proofErr w:type="spellEnd"/>
      <w:r w:rsidRPr="00AE35C1">
        <w:rPr>
          <w:rFonts w:cs="Arial"/>
          <w:color w:val="000000"/>
          <w:sz w:val="19"/>
          <w:szCs w:val="19"/>
        </w:rPr>
        <w:t xml:space="preserve">, </w:t>
      </w:r>
      <w:proofErr w:type="spellStart"/>
      <w:r w:rsidRPr="00AE35C1">
        <w:rPr>
          <w:rFonts w:cs="Arial"/>
          <w:color w:val="000000"/>
          <w:sz w:val="19"/>
          <w:szCs w:val="19"/>
        </w:rPr>
        <w:t>Hasco-Lek</w:t>
      </w:r>
      <w:proofErr w:type="spellEnd"/>
      <w:r w:rsidRPr="00AE35C1">
        <w:rPr>
          <w:rFonts w:cs="Arial"/>
          <w:color w:val="000000"/>
          <w:sz w:val="19"/>
          <w:szCs w:val="19"/>
        </w:rPr>
        <w:t xml:space="preserve">, </w:t>
      </w:r>
      <w:proofErr w:type="spellStart"/>
      <w:r w:rsidRPr="00AE35C1">
        <w:rPr>
          <w:rFonts w:cs="Arial"/>
          <w:color w:val="000000"/>
          <w:sz w:val="19"/>
          <w:szCs w:val="19"/>
        </w:rPr>
        <w:t>Oleofarm</w:t>
      </w:r>
      <w:proofErr w:type="spellEnd"/>
      <w:r w:rsidRPr="00AE35C1">
        <w:rPr>
          <w:rFonts w:cs="Arial"/>
          <w:color w:val="000000"/>
          <w:sz w:val="19"/>
          <w:szCs w:val="19"/>
        </w:rPr>
        <w:t xml:space="preserve">, </w:t>
      </w:r>
      <w:proofErr w:type="spellStart"/>
      <w:r w:rsidRPr="00AE35C1">
        <w:rPr>
          <w:rFonts w:cs="Arial"/>
          <w:color w:val="000000"/>
          <w:sz w:val="19"/>
          <w:szCs w:val="19"/>
        </w:rPr>
        <w:t>Clarena</w:t>
      </w:r>
      <w:proofErr w:type="spellEnd"/>
      <w:r w:rsidRPr="00AE35C1">
        <w:rPr>
          <w:rFonts w:cs="Arial"/>
          <w:color w:val="000000"/>
          <w:sz w:val="19"/>
          <w:szCs w:val="19"/>
        </w:rPr>
        <w:t>). Wysoką r</w:t>
      </w:r>
      <w:r w:rsidRPr="00AE35C1">
        <w:rPr>
          <w:sz w:val="19"/>
          <w:szCs w:val="19"/>
        </w:rPr>
        <w:t>enomę posiadają takie miejsca, jak Zamek Książ, Hala Stulecia</w:t>
      </w:r>
      <w:r w:rsidR="00F96044">
        <w:rPr>
          <w:sz w:val="19"/>
          <w:szCs w:val="19"/>
        </w:rPr>
        <w:t>, kościoły Pokoju w Świdnicy i Jaworze</w:t>
      </w:r>
      <w:r w:rsidRPr="00AE35C1">
        <w:rPr>
          <w:sz w:val="19"/>
          <w:szCs w:val="19"/>
        </w:rPr>
        <w:t xml:space="preserve"> czy Dolina Pałaców i Ogrodów, a</w:t>
      </w:r>
      <w:r w:rsidR="002949AC">
        <w:rPr>
          <w:sz w:val="19"/>
          <w:szCs w:val="19"/>
        </w:rPr>
        <w:t> </w:t>
      </w:r>
      <w:r w:rsidRPr="00AE35C1">
        <w:rPr>
          <w:sz w:val="19"/>
          <w:szCs w:val="19"/>
        </w:rPr>
        <w:t xml:space="preserve">także wydarzenia: </w:t>
      </w:r>
      <w:r w:rsidRPr="00AE35C1">
        <w:rPr>
          <w:rFonts w:eastAsia="Times New Roman" w:cs="Arial"/>
          <w:color w:val="000000"/>
          <w:sz w:val="19"/>
          <w:szCs w:val="19"/>
        </w:rPr>
        <w:t>Międzynarodowy Festiwal Oratoryjno-Kantatowy "</w:t>
      </w:r>
      <w:proofErr w:type="spellStart"/>
      <w:r w:rsidRPr="00AE35C1">
        <w:rPr>
          <w:rFonts w:eastAsia="Times New Roman" w:cs="Arial"/>
          <w:color w:val="000000"/>
          <w:sz w:val="19"/>
          <w:szCs w:val="19"/>
        </w:rPr>
        <w:t>Wratislavia</w:t>
      </w:r>
      <w:proofErr w:type="spellEnd"/>
      <w:r w:rsidRPr="00AE35C1">
        <w:rPr>
          <w:rFonts w:eastAsia="Times New Roman" w:cs="Arial"/>
          <w:color w:val="000000"/>
          <w:sz w:val="19"/>
          <w:szCs w:val="19"/>
        </w:rPr>
        <w:t xml:space="preserve"> </w:t>
      </w:r>
      <w:proofErr w:type="spellStart"/>
      <w:r w:rsidRPr="00AE35C1">
        <w:rPr>
          <w:rFonts w:eastAsia="Times New Roman" w:cs="Arial"/>
          <w:color w:val="000000"/>
          <w:sz w:val="19"/>
          <w:szCs w:val="19"/>
        </w:rPr>
        <w:t>Cantans</w:t>
      </w:r>
      <w:proofErr w:type="spellEnd"/>
      <w:r w:rsidRPr="00AE35C1">
        <w:rPr>
          <w:rFonts w:eastAsia="Times New Roman" w:cs="Arial"/>
          <w:color w:val="000000"/>
          <w:sz w:val="19"/>
          <w:szCs w:val="19"/>
        </w:rPr>
        <w:t>", Przegląd Piosenki Aktorskiej</w:t>
      </w:r>
      <w:r w:rsidRPr="00AE35C1">
        <w:rPr>
          <w:rFonts w:cs="Arial"/>
          <w:color w:val="000000"/>
          <w:sz w:val="19"/>
          <w:szCs w:val="19"/>
        </w:rPr>
        <w:t>.</w:t>
      </w:r>
    </w:p>
    <w:p w:rsidR="00692545" w:rsidRPr="00AE35C1" w:rsidRDefault="00692545" w:rsidP="00692545">
      <w:pPr>
        <w:spacing w:before="120" w:after="120" w:line="288" w:lineRule="auto"/>
        <w:jc w:val="both"/>
        <w:rPr>
          <w:rFonts w:cs="Arial"/>
          <w:color w:val="000000"/>
          <w:sz w:val="19"/>
          <w:szCs w:val="19"/>
        </w:rPr>
      </w:pPr>
      <w:r w:rsidRPr="00AE35C1">
        <w:rPr>
          <w:rFonts w:cs="Arial"/>
          <w:color w:val="000000"/>
          <w:sz w:val="19"/>
          <w:szCs w:val="19"/>
        </w:rPr>
        <w:t>Stały zrównoważony rozwój wiodących marek w głównej mierze zależy od dobrze wykształconych kadr, których w</w:t>
      </w:r>
      <w:r w:rsidR="00455F65" w:rsidRPr="00AE35C1">
        <w:rPr>
          <w:rFonts w:cs="Arial"/>
          <w:color w:val="000000"/>
          <w:sz w:val="19"/>
          <w:szCs w:val="19"/>
        </w:rPr>
        <w:t> </w:t>
      </w:r>
      <w:r w:rsidRPr="00AE35C1">
        <w:rPr>
          <w:rFonts w:cs="Arial"/>
          <w:color w:val="000000"/>
          <w:sz w:val="19"/>
          <w:szCs w:val="19"/>
        </w:rPr>
        <w:t>województwie dolnośląskim nie brakuje, dzięki posiadanemu potencjałowi uczelni wyższych w regionie: m.in. Uniwersytet Wrocławski, Uniwersytet Ekonomiczny, Uniwersytet Przyrodniczy, Politechnika Wrocławska.</w:t>
      </w:r>
      <w:r w:rsidR="00455F65" w:rsidRPr="00AE35C1">
        <w:rPr>
          <w:rFonts w:cs="Arial"/>
          <w:color w:val="000000"/>
          <w:sz w:val="19"/>
          <w:szCs w:val="19"/>
        </w:rPr>
        <w:t xml:space="preserve"> </w:t>
      </w:r>
      <w:r w:rsidRPr="00AE35C1">
        <w:rPr>
          <w:rFonts w:cs="Arial"/>
          <w:color w:val="000000"/>
          <w:sz w:val="19"/>
          <w:szCs w:val="19"/>
        </w:rPr>
        <w:t xml:space="preserve">Dolny Śląsk to </w:t>
      </w:r>
      <w:r w:rsidR="00A40F30" w:rsidRPr="00AE35C1">
        <w:rPr>
          <w:rFonts w:cs="Arial"/>
          <w:color w:val="000000"/>
          <w:sz w:val="19"/>
          <w:szCs w:val="19"/>
        </w:rPr>
        <w:t xml:space="preserve">również </w:t>
      </w:r>
      <w:r w:rsidRPr="00AE35C1">
        <w:rPr>
          <w:rFonts w:cs="Arial"/>
          <w:color w:val="000000"/>
          <w:sz w:val="19"/>
          <w:szCs w:val="19"/>
        </w:rPr>
        <w:t xml:space="preserve">miejsce pochodzenia bardzo znanych marek w dziedzinie usług. Getin Holding, </w:t>
      </w:r>
      <w:proofErr w:type="spellStart"/>
      <w:r w:rsidRPr="00AE35C1">
        <w:rPr>
          <w:rFonts w:cs="Arial"/>
          <w:color w:val="000000"/>
          <w:sz w:val="19"/>
          <w:szCs w:val="19"/>
        </w:rPr>
        <w:t>Work</w:t>
      </w:r>
      <w:proofErr w:type="spellEnd"/>
      <w:r w:rsidRPr="00AE35C1">
        <w:rPr>
          <w:rFonts w:cs="Arial"/>
          <w:color w:val="000000"/>
          <w:sz w:val="19"/>
          <w:szCs w:val="19"/>
        </w:rPr>
        <w:t xml:space="preserve"> Service, KRD, Kruk SA czy Impel to przedsiębiorstwa, które powstały w ciągu ostatnich 20 lat, a swoją obecną pozycją rynkową i obszarowi prowadzenia działalności  dorównują i konkurują ze światowymi korporacjami z kilkudziesięcioletnią historią.</w:t>
      </w:r>
    </w:p>
    <w:p w:rsidR="00814A82" w:rsidRPr="00AE35C1" w:rsidRDefault="00692545" w:rsidP="00B979CE">
      <w:pPr>
        <w:spacing w:before="60" w:after="60" w:line="288" w:lineRule="auto"/>
        <w:jc w:val="both"/>
        <w:rPr>
          <w:rFonts w:cs="Calibri"/>
          <w:color w:val="000000"/>
          <w:sz w:val="19"/>
          <w:szCs w:val="19"/>
        </w:rPr>
        <w:sectPr w:rsidR="00814A82" w:rsidRPr="00AE35C1" w:rsidSect="00E73C96">
          <w:type w:val="continuous"/>
          <w:pgSz w:w="11906" w:h="16838"/>
          <w:pgMar w:top="1276" w:right="1276" w:bottom="1417" w:left="1417" w:header="708" w:footer="708" w:gutter="0"/>
          <w:cols w:num="2" w:space="454"/>
          <w:titlePg/>
          <w:docGrid w:linePitch="360"/>
        </w:sectPr>
      </w:pPr>
      <w:r w:rsidRPr="00AE35C1">
        <w:rPr>
          <w:sz w:val="19"/>
          <w:szCs w:val="19"/>
        </w:rPr>
        <w:t xml:space="preserve">Dolny Śląsk postrzegany jest </w:t>
      </w:r>
      <w:r w:rsidR="00A40F30" w:rsidRPr="00AE35C1">
        <w:rPr>
          <w:sz w:val="19"/>
          <w:szCs w:val="19"/>
        </w:rPr>
        <w:t xml:space="preserve">także </w:t>
      </w:r>
      <w:r w:rsidRPr="00AE35C1">
        <w:rPr>
          <w:sz w:val="19"/>
          <w:szCs w:val="19"/>
        </w:rPr>
        <w:t xml:space="preserve">jako kolebka przemysłu ciężkiego, chemicznego, farmaceutycznego. Wrocławska firma </w:t>
      </w:r>
      <w:proofErr w:type="spellStart"/>
      <w:r w:rsidRPr="00AE35C1">
        <w:rPr>
          <w:sz w:val="19"/>
          <w:szCs w:val="19"/>
        </w:rPr>
        <w:t>Selena</w:t>
      </w:r>
      <w:proofErr w:type="spellEnd"/>
      <w:r w:rsidRPr="00AE35C1">
        <w:rPr>
          <w:sz w:val="19"/>
          <w:szCs w:val="19"/>
        </w:rPr>
        <w:t xml:space="preserve"> powstała </w:t>
      </w:r>
      <w:r w:rsidR="002050A7">
        <w:rPr>
          <w:sz w:val="19"/>
          <w:szCs w:val="19"/>
        </w:rPr>
        <w:t>w 1992 roku i </w:t>
      </w:r>
      <w:r w:rsidRPr="00AE35C1">
        <w:rPr>
          <w:sz w:val="19"/>
          <w:szCs w:val="19"/>
        </w:rPr>
        <w:t>z</w:t>
      </w:r>
      <w:r w:rsidR="002050A7">
        <w:rPr>
          <w:sz w:val="19"/>
          <w:szCs w:val="19"/>
        </w:rPr>
        <w:t> </w:t>
      </w:r>
      <w:r w:rsidRPr="00AE35C1">
        <w:rPr>
          <w:sz w:val="19"/>
          <w:szCs w:val="19"/>
        </w:rPr>
        <w:t>powodzeniem działa dziś w 70 krajach na świecie oferując nowoczesne technologie z wykorzystaniem pian, silikonów i uszczelniaczy.  Grupa AB, producent i</w:t>
      </w:r>
      <w:r w:rsidR="002050A7">
        <w:rPr>
          <w:sz w:val="19"/>
          <w:szCs w:val="19"/>
        </w:rPr>
        <w:t> </w:t>
      </w:r>
      <w:r w:rsidRPr="00AE35C1">
        <w:rPr>
          <w:sz w:val="19"/>
          <w:szCs w:val="19"/>
        </w:rPr>
        <w:t>dystrybutor obuwia CCC, firma Tarczyński czy Getin Holding działają nie tylko w Polsce, ale również poza jej granicami.</w:t>
      </w:r>
      <w:bookmarkEnd w:id="46"/>
    </w:p>
    <w:p w:rsidR="000C6BE4" w:rsidRPr="00AE35C1" w:rsidRDefault="000C6BE4" w:rsidP="005F49A2">
      <w:pPr>
        <w:autoSpaceDE w:val="0"/>
        <w:autoSpaceDN w:val="0"/>
        <w:adjustRightInd w:val="0"/>
        <w:spacing w:after="0" w:line="288" w:lineRule="auto"/>
        <w:jc w:val="center"/>
        <w:rPr>
          <w:color w:val="000000"/>
          <w:sz w:val="8"/>
          <w:szCs w:val="8"/>
        </w:rPr>
        <w:sectPr w:rsidR="000C6BE4" w:rsidRPr="00AE35C1" w:rsidSect="00E73C96">
          <w:type w:val="continuous"/>
          <w:pgSz w:w="11906" w:h="16838"/>
          <w:pgMar w:top="1418" w:right="1276" w:bottom="709" w:left="1418" w:header="709" w:footer="462" w:gutter="0"/>
          <w:cols w:space="454"/>
          <w:docGrid w:linePitch="360"/>
        </w:sectPr>
      </w:pPr>
    </w:p>
    <w:tbl>
      <w:tblPr>
        <w:tblW w:w="9275" w:type="dxa"/>
        <w:jc w:val="center"/>
        <w:tblBorders>
          <w:insideH w:val="single" w:sz="18" w:space="0" w:color="FFFFFF"/>
          <w:insideV w:val="single" w:sz="18" w:space="0" w:color="FFFFFF"/>
        </w:tblBorders>
        <w:tblLook w:val="04A0"/>
      </w:tblPr>
      <w:tblGrid>
        <w:gridCol w:w="4493"/>
        <w:gridCol w:w="4782"/>
      </w:tblGrid>
      <w:tr w:rsidR="00057B01" w:rsidRPr="00AE35C1" w:rsidTr="00B979CE">
        <w:trPr>
          <w:tblHeader/>
          <w:jc w:val="center"/>
        </w:trPr>
        <w:tc>
          <w:tcPr>
            <w:tcW w:w="4493" w:type="dxa"/>
            <w:shd w:val="clear" w:color="auto" w:fill="F2F2F2"/>
          </w:tcPr>
          <w:p w:rsidR="00057B01" w:rsidRPr="00AE35C1" w:rsidRDefault="00057B01" w:rsidP="00455F65">
            <w:pPr>
              <w:spacing w:after="0" w:line="288" w:lineRule="auto"/>
              <w:jc w:val="center"/>
              <w:rPr>
                <w:b/>
                <w:color w:val="000000"/>
                <w:sz w:val="18"/>
                <w:szCs w:val="18"/>
              </w:rPr>
            </w:pPr>
            <w:r w:rsidRPr="00AE35C1">
              <w:rPr>
                <w:b/>
                <w:color w:val="000000"/>
                <w:sz w:val="18"/>
                <w:szCs w:val="18"/>
              </w:rPr>
              <w:lastRenderedPageBreak/>
              <w:t>MOCNE STRONY</w:t>
            </w:r>
          </w:p>
        </w:tc>
        <w:tc>
          <w:tcPr>
            <w:tcW w:w="4782" w:type="dxa"/>
            <w:shd w:val="clear" w:color="auto" w:fill="F2F2F2"/>
          </w:tcPr>
          <w:p w:rsidR="00057B01" w:rsidRPr="00AE35C1" w:rsidRDefault="00057B01" w:rsidP="00455F65">
            <w:pPr>
              <w:spacing w:after="0" w:line="288" w:lineRule="auto"/>
              <w:jc w:val="center"/>
              <w:rPr>
                <w:b/>
                <w:color w:val="000000"/>
                <w:sz w:val="18"/>
                <w:szCs w:val="18"/>
              </w:rPr>
            </w:pPr>
            <w:r w:rsidRPr="00AE35C1">
              <w:rPr>
                <w:b/>
                <w:color w:val="000000"/>
                <w:sz w:val="18"/>
                <w:szCs w:val="18"/>
              </w:rPr>
              <w:t>SŁABE STRONY</w:t>
            </w:r>
          </w:p>
        </w:tc>
      </w:tr>
      <w:tr w:rsidR="00057B01" w:rsidRPr="00AE35C1" w:rsidTr="00B979CE">
        <w:trPr>
          <w:jc w:val="center"/>
        </w:trPr>
        <w:tc>
          <w:tcPr>
            <w:tcW w:w="4493" w:type="dxa"/>
            <w:shd w:val="clear" w:color="auto" w:fill="F2F2F2"/>
          </w:tcPr>
          <w:p w:rsidR="00057B01" w:rsidRPr="00AE35C1" w:rsidRDefault="00057B01" w:rsidP="00455F65">
            <w:pPr>
              <w:pStyle w:val="Akapitzlist"/>
              <w:numPr>
                <w:ilvl w:val="0"/>
                <w:numId w:val="30"/>
              </w:numPr>
              <w:spacing w:after="0" w:line="288" w:lineRule="auto"/>
              <w:ind w:left="318" w:hanging="318"/>
              <w:jc w:val="both"/>
              <w:rPr>
                <w:color w:val="000000"/>
                <w:sz w:val="17"/>
                <w:szCs w:val="17"/>
              </w:rPr>
            </w:pPr>
            <w:r w:rsidRPr="00AE35C1">
              <w:rPr>
                <w:color w:val="000000"/>
                <w:sz w:val="17"/>
                <w:szCs w:val="17"/>
              </w:rPr>
              <w:t xml:space="preserve">rosnąca wartość PKB i WDB ogółem oraz per capita regionu, </w:t>
            </w:r>
          </w:p>
          <w:p w:rsidR="00057B01" w:rsidRPr="00AE35C1" w:rsidRDefault="00057B01" w:rsidP="00455F65">
            <w:pPr>
              <w:pStyle w:val="TEKST"/>
              <w:numPr>
                <w:ilvl w:val="0"/>
                <w:numId w:val="30"/>
              </w:numPr>
              <w:spacing w:after="0"/>
              <w:ind w:left="318" w:hanging="318"/>
              <w:contextualSpacing/>
              <w:rPr>
                <w:sz w:val="17"/>
                <w:szCs w:val="17"/>
              </w:rPr>
            </w:pPr>
            <w:r w:rsidRPr="00AE35C1">
              <w:rPr>
                <w:sz w:val="17"/>
                <w:szCs w:val="17"/>
              </w:rPr>
              <w:t>wysoki odsetek wartości dodanej brutto generowanej przez sektor przemysłowy,</w:t>
            </w:r>
          </w:p>
          <w:p w:rsidR="00057B01" w:rsidRPr="00AE35C1" w:rsidRDefault="00057B01" w:rsidP="00455F65">
            <w:pPr>
              <w:pStyle w:val="Akapitzlist"/>
              <w:numPr>
                <w:ilvl w:val="0"/>
                <w:numId w:val="30"/>
              </w:numPr>
              <w:spacing w:after="0" w:line="288" w:lineRule="auto"/>
              <w:ind w:left="318" w:hanging="318"/>
              <w:jc w:val="both"/>
              <w:rPr>
                <w:color w:val="000000"/>
                <w:sz w:val="17"/>
                <w:szCs w:val="17"/>
              </w:rPr>
            </w:pPr>
            <w:r w:rsidRPr="00AE35C1">
              <w:rPr>
                <w:color w:val="000000"/>
                <w:sz w:val="17"/>
                <w:szCs w:val="17"/>
              </w:rPr>
              <w:t xml:space="preserve">wysoki udział jednostek </w:t>
            </w:r>
            <w:proofErr w:type="spellStart"/>
            <w:r w:rsidRPr="00AE35C1">
              <w:rPr>
                <w:color w:val="000000"/>
                <w:sz w:val="17"/>
                <w:szCs w:val="17"/>
              </w:rPr>
              <w:t>B+R</w:t>
            </w:r>
            <w:proofErr w:type="spellEnd"/>
            <w:r w:rsidRPr="00AE35C1">
              <w:rPr>
                <w:color w:val="000000"/>
                <w:sz w:val="17"/>
                <w:szCs w:val="17"/>
              </w:rPr>
              <w:t xml:space="preserve"> pochodzących z</w:t>
            </w:r>
            <w:r w:rsidR="00160008" w:rsidRPr="00AE35C1">
              <w:rPr>
                <w:color w:val="000000"/>
                <w:sz w:val="17"/>
                <w:szCs w:val="17"/>
              </w:rPr>
              <w:t> </w:t>
            </w:r>
            <w:r w:rsidRPr="00AE35C1">
              <w:rPr>
                <w:color w:val="000000"/>
                <w:sz w:val="17"/>
                <w:szCs w:val="17"/>
              </w:rPr>
              <w:t xml:space="preserve">sektora przedsiębiorstw oraz dynamiczny wzrost ich </w:t>
            </w:r>
            <w:r w:rsidR="004E1B77" w:rsidRPr="00AE35C1">
              <w:rPr>
                <w:color w:val="000000"/>
                <w:sz w:val="17"/>
                <w:szCs w:val="17"/>
              </w:rPr>
              <w:t>liczby</w:t>
            </w:r>
            <w:r w:rsidRPr="00AE35C1">
              <w:rPr>
                <w:color w:val="000000"/>
                <w:sz w:val="17"/>
                <w:szCs w:val="17"/>
              </w:rPr>
              <w:t>,</w:t>
            </w:r>
          </w:p>
          <w:p w:rsidR="00057B01" w:rsidRPr="00AE35C1" w:rsidRDefault="00057B01" w:rsidP="00455F65">
            <w:pPr>
              <w:pStyle w:val="Default"/>
              <w:numPr>
                <w:ilvl w:val="0"/>
                <w:numId w:val="30"/>
              </w:numPr>
              <w:spacing w:line="288" w:lineRule="auto"/>
              <w:ind w:left="318" w:hanging="318"/>
              <w:contextualSpacing/>
              <w:jc w:val="both"/>
              <w:rPr>
                <w:rFonts w:ascii="Calibri" w:hAnsi="Calibri"/>
                <w:b/>
                <w:sz w:val="17"/>
                <w:szCs w:val="17"/>
              </w:rPr>
            </w:pPr>
            <w:r w:rsidRPr="00AE35C1">
              <w:rPr>
                <w:rFonts w:ascii="Calibri" w:hAnsi="Calibri"/>
                <w:sz w:val="17"/>
                <w:szCs w:val="17"/>
              </w:rPr>
              <w:t>wysoka atrakcyjność inwestycyjna, w tym aktywna działalność i rozwój specjalnych stref ekonomicznych oraz terenów przeznaczonych pod funkcje gospodarcze,</w:t>
            </w:r>
          </w:p>
          <w:p w:rsidR="00057B01" w:rsidRPr="00AE35C1" w:rsidRDefault="00057B01" w:rsidP="00455F65">
            <w:pPr>
              <w:pStyle w:val="Akapitzlist"/>
              <w:numPr>
                <w:ilvl w:val="0"/>
                <w:numId w:val="30"/>
              </w:numPr>
              <w:spacing w:after="0" w:line="288" w:lineRule="auto"/>
              <w:ind w:left="318" w:hanging="318"/>
              <w:jc w:val="both"/>
              <w:rPr>
                <w:color w:val="000000"/>
                <w:sz w:val="17"/>
                <w:szCs w:val="17"/>
              </w:rPr>
            </w:pPr>
            <w:r w:rsidRPr="00AE35C1">
              <w:rPr>
                <w:color w:val="000000"/>
                <w:sz w:val="17"/>
                <w:szCs w:val="17"/>
              </w:rPr>
              <w:t xml:space="preserve">spadek </w:t>
            </w:r>
            <w:r w:rsidR="00EB659A" w:rsidRPr="00AE35C1">
              <w:rPr>
                <w:color w:val="000000"/>
                <w:sz w:val="17"/>
                <w:szCs w:val="17"/>
              </w:rPr>
              <w:t>bezrobocia</w:t>
            </w:r>
            <w:r w:rsidRPr="00AE35C1">
              <w:rPr>
                <w:color w:val="000000"/>
                <w:sz w:val="17"/>
                <w:szCs w:val="17"/>
              </w:rPr>
              <w:t>,</w:t>
            </w:r>
          </w:p>
          <w:p w:rsidR="00057B01" w:rsidRPr="00AE35C1" w:rsidRDefault="00057B01" w:rsidP="00455F65">
            <w:pPr>
              <w:pStyle w:val="Default"/>
              <w:numPr>
                <w:ilvl w:val="0"/>
                <w:numId w:val="30"/>
              </w:numPr>
              <w:spacing w:line="288" w:lineRule="auto"/>
              <w:ind w:left="318" w:hanging="318"/>
              <w:contextualSpacing/>
              <w:jc w:val="both"/>
              <w:rPr>
                <w:rFonts w:ascii="Calibri" w:hAnsi="Calibri"/>
                <w:b/>
                <w:sz w:val="17"/>
                <w:szCs w:val="17"/>
              </w:rPr>
            </w:pPr>
            <w:r w:rsidRPr="00AE35C1">
              <w:rPr>
                <w:rFonts w:ascii="Calibri" w:hAnsi="Calibri"/>
                <w:sz w:val="17"/>
                <w:szCs w:val="17"/>
              </w:rPr>
              <w:t>proeksportowa orientacja przedsiębiorstw,</w:t>
            </w:r>
          </w:p>
          <w:p w:rsidR="00057B01" w:rsidRPr="00AE35C1" w:rsidRDefault="00057B01" w:rsidP="00455F65">
            <w:pPr>
              <w:pStyle w:val="Akapitzlist"/>
              <w:numPr>
                <w:ilvl w:val="0"/>
                <w:numId w:val="30"/>
              </w:numPr>
              <w:spacing w:after="0" w:line="288" w:lineRule="auto"/>
              <w:ind w:left="318" w:hanging="318"/>
              <w:jc w:val="both"/>
              <w:rPr>
                <w:color w:val="000000"/>
                <w:sz w:val="17"/>
                <w:szCs w:val="17"/>
              </w:rPr>
            </w:pPr>
            <w:r w:rsidRPr="00AE35C1">
              <w:rPr>
                <w:color w:val="000000"/>
                <w:sz w:val="17"/>
                <w:szCs w:val="17"/>
              </w:rPr>
              <w:t>relatywnie duża koncentracja inwestycji zagranicznych,</w:t>
            </w:r>
          </w:p>
          <w:p w:rsidR="00057B01" w:rsidRPr="00AE35C1" w:rsidRDefault="00057B01" w:rsidP="00455F65">
            <w:pPr>
              <w:pStyle w:val="Akapitzlist"/>
              <w:numPr>
                <w:ilvl w:val="0"/>
                <w:numId w:val="30"/>
              </w:numPr>
              <w:spacing w:after="0" w:line="288" w:lineRule="auto"/>
              <w:ind w:left="318" w:hanging="318"/>
              <w:jc w:val="both"/>
              <w:rPr>
                <w:color w:val="000000"/>
                <w:sz w:val="17"/>
                <w:szCs w:val="17"/>
              </w:rPr>
            </w:pPr>
            <w:r w:rsidRPr="00AE35C1">
              <w:rPr>
                <w:color w:val="000000"/>
                <w:sz w:val="17"/>
                <w:szCs w:val="17"/>
              </w:rPr>
              <w:t xml:space="preserve">rosnąca średnia wielkość gospodarstwa rolnego, </w:t>
            </w:r>
          </w:p>
          <w:p w:rsidR="00057B01" w:rsidRPr="00AE35C1" w:rsidRDefault="00057B01" w:rsidP="00455F65">
            <w:pPr>
              <w:pStyle w:val="Akapitzlist"/>
              <w:numPr>
                <w:ilvl w:val="0"/>
                <w:numId w:val="30"/>
              </w:numPr>
              <w:spacing w:after="0" w:line="288" w:lineRule="auto"/>
              <w:ind w:left="318" w:hanging="318"/>
              <w:jc w:val="both"/>
              <w:rPr>
                <w:color w:val="000000"/>
                <w:sz w:val="17"/>
                <w:szCs w:val="17"/>
              </w:rPr>
            </w:pPr>
            <w:r w:rsidRPr="00AE35C1">
              <w:rPr>
                <w:color w:val="000000"/>
                <w:sz w:val="17"/>
                <w:szCs w:val="17"/>
              </w:rPr>
              <w:t xml:space="preserve">istotna rola w </w:t>
            </w:r>
            <w:r w:rsidR="00D92D62" w:rsidRPr="00AE35C1">
              <w:rPr>
                <w:color w:val="000000"/>
                <w:sz w:val="17"/>
                <w:szCs w:val="17"/>
              </w:rPr>
              <w:t>eksploatacji jedynych w kraju i </w:t>
            </w:r>
            <w:r w:rsidRPr="00AE35C1">
              <w:rPr>
                <w:color w:val="000000"/>
                <w:sz w:val="17"/>
                <w:szCs w:val="17"/>
              </w:rPr>
              <w:t>jednych z ważniejsz</w:t>
            </w:r>
            <w:r w:rsidR="00D92D62" w:rsidRPr="00AE35C1">
              <w:rPr>
                <w:color w:val="000000"/>
                <w:sz w:val="17"/>
                <w:szCs w:val="17"/>
              </w:rPr>
              <w:t>ych w świecie złóż rud miedzi i </w:t>
            </w:r>
            <w:r w:rsidRPr="00AE35C1">
              <w:rPr>
                <w:color w:val="000000"/>
                <w:sz w:val="17"/>
                <w:szCs w:val="17"/>
              </w:rPr>
              <w:t>srebra oraz</w:t>
            </w:r>
            <w:r w:rsidR="00D92D62" w:rsidRPr="00AE35C1">
              <w:rPr>
                <w:color w:val="000000"/>
                <w:sz w:val="17"/>
                <w:szCs w:val="17"/>
              </w:rPr>
              <w:t> </w:t>
            </w:r>
            <w:r w:rsidRPr="00AE35C1">
              <w:rPr>
                <w:color w:val="000000"/>
                <w:sz w:val="17"/>
                <w:szCs w:val="17"/>
              </w:rPr>
              <w:t>w</w:t>
            </w:r>
            <w:r w:rsidR="00D92D62" w:rsidRPr="00AE35C1">
              <w:rPr>
                <w:color w:val="000000"/>
                <w:sz w:val="17"/>
                <w:szCs w:val="17"/>
              </w:rPr>
              <w:t> </w:t>
            </w:r>
            <w:r w:rsidRPr="00AE35C1">
              <w:rPr>
                <w:color w:val="000000"/>
                <w:sz w:val="17"/>
                <w:szCs w:val="17"/>
              </w:rPr>
              <w:t xml:space="preserve">produkcji węgla brunatnego, metamorficznych i magmowych kamieni łamanych i </w:t>
            </w:r>
            <w:proofErr w:type="spellStart"/>
            <w:r w:rsidRPr="00AE35C1">
              <w:rPr>
                <w:color w:val="000000"/>
                <w:sz w:val="17"/>
                <w:szCs w:val="17"/>
              </w:rPr>
              <w:t>blocznych</w:t>
            </w:r>
            <w:proofErr w:type="spellEnd"/>
            <w:r w:rsidRPr="00AE35C1">
              <w:rPr>
                <w:color w:val="000000"/>
                <w:sz w:val="17"/>
                <w:szCs w:val="17"/>
              </w:rPr>
              <w:t xml:space="preserve"> oraz wie</w:t>
            </w:r>
            <w:r w:rsidR="0038517C" w:rsidRPr="00AE35C1">
              <w:rPr>
                <w:color w:val="000000"/>
                <w:sz w:val="17"/>
                <w:szCs w:val="17"/>
              </w:rPr>
              <w:t xml:space="preserve">lu </w:t>
            </w:r>
            <w:r w:rsidR="0038517C" w:rsidRPr="00AE35C1">
              <w:rPr>
                <w:color w:val="000000"/>
                <w:sz w:val="17"/>
                <w:szCs w:val="17"/>
              </w:rPr>
              <w:lastRenderedPageBreak/>
              <w:t>innych kopalin użytecznych.</w:t>
            </w:r>
          </w:p>
        </w:tc>
        <w:tc>
          <w:tcPr>
            <w:tcW w:w="4782" w:type="dxa"/>
            <w:shd w:val="clear" w:color="auto" w:fill="F2F2F2"/>
          </w:tcPr>
          <w:p w:rsidR="00057B01" w:rsidRPr="00AE35C1" w:rsidRDefault="00057B01" w:rsidP="00455F65">
            <w:pPr>
              <w:pStyle w:val="Akapitzlist"/>
              <w:numPr>
                <w:ilvl w:val="0"/>
                <w:numId w:val="17"/>
              </w:numPr>
              <w:spacing w:after="0" w:line="288" w:lineRule="auto"/>
              <w:ind w:left="232" w:hanging="232"/>
              <w:jc w:val="both"/>
              <w:rPr>
                <w:color w:val="000000"/>
                <w:sz w:val="17"/>
                <w:szCs w:val="17"/>
              </w:rPr>
            </w:pPr>
            <w:r w:rsidRPr="00AE35C1">
              <w:rPr>
                <w:color w:val="000000"/>
                <w:sz w:val="17"/>
                <w:szCs w:val="17"/>
              </w:rPr>
              <w:lastRenderedPageBreak/>
              <w:t>duże dysproporcje wewnętrzne w tworzeniu PKB i</w:t>
            </w:r>
            <w:r w:rsidR="00160008" w:rsidRPr="00AE35C1">
              <w:rPr>
                <w:color w:val="000000"/>
                <w:sz w:val="17"/>
                <w:szCs w:val="17"/>
              </w:rPr>
              <w:t> </w:t>
            </w:r>
            <w:r w:rsidRPr="00AE35C1">
              <w:rPr>
                <w:color w:val="000000"/>
                <w:sz w:val="17"/>
                <w:szCs w:val="17"/>
              </w:rPr>
              <w:t xml:space="preserve">WDB regionu, </w:t>
            </w:r>
          </w:p>
          <w:p w:rsidR="00057B01" w:rsidRPr="00AE35C1" w:rsidRDefault="00057B01" w:rsidP="00455F65">
            <w:pPr>
              <w:pStyle w:val="Akapitzlist"/>
              <w:numPr>
                <w:ilvl w:val="0"/>
                <w:numId w:val="17"/>
              </w:numPr>
              <w:spacing w:after="0" w:line="288" w:lineRule="auto"/>
              <w:ind w:left="232" w:hanging="232"/>
              <w:jc w:val="both"/>
              <w:rPr>
                <w:color w:val="000000"/>
                <w:sz w:val="17"/>
                <w:szCs w:val="17"/>
              </w:rPr>
            </w:pPr>
            <w:r w:rsidRPr="00AE35C1">
              <w:rPr>
                <w:color w:val="000000"/>
                <w:sz w:val="17"/>
                <w:szCs w:val="17"/>
              </w:rPr>
              <w:t xml:space="preserve">utrzymujący się niski udział nakładów na działalność </w:t>
            </w:r>
            <w:proofErr w:type="spellStart"/>
            <w:r w:rsidRPr="00AE35C1">
              <w:rPr>
                <w:color w:val="000000"/>
                <w:sz w:val="17"/>
                <w:szCs w:val="17"/>
              </w:rPr>
              <w:t>B+R</w:t>
            </w:r>
            <w:proofErr w:type="spellEnd"/>
            <w:r w:rsidRPr="00AE35C1">
              <w:rPr>
                <w:color w:val="000000"/>
                <w:sz w:val="17"/>
                <w:szCs w:val="17"/>
              </w:rPr>
              <w:t xml:space="preserve"> finansowanych z sektora przedsiębiorstw w nakładach na działalność </w:t>
            </w:r>
            <w:proofErr w:type="spellStart"/>
            <w:r w:rsidRPr="00AE35C1">
              <w:rPr>
                <w:color w:val="000000"/>
                <w:sz w:val="17"/>
                <w:szCs w:val="17"/>
              </w:rPr>
              <w:t>B+R</w:t>
            </w:r>
            <w:proofErr w:type="spellEnd"/>
            <w:r w:rsidRPr="00AE35C1">
              <w:rPr>
                <w:color w:val="000000"/>
                <w:sz w:val="17"/>
                <w:szCs w:val="17"/>
              </w:rPr>
              <w:t xml:space="preserve"> ogółem oraz ni</w:t>
            </w:r>
            <w:r w:rsidR="00D92D62" w:rsidRPr="00AE35C1">
              <w:rPr>
                <w:color w:val="000000"/>
                <w:sz w:val="17"/>
                <w:szCs w:val="17"/>
              </w:rPr>
              <w:t>ski udział osób zatrudnionych w </w:t>
            </w:r>
            <w:proofErr w:type="spellStart"/>
            <w:r w:rsidRPr="00AE35C1">
              <w:rPr>
                <w:color w:val="000000"/>
                <w:sz w:val="17"/>
                <w:szCs w:val="17"/>
              </w:rPr>
              <w:t>B+R</w:t>
            </w:r>
            <w:proofErr w:type="spellEnd"/>
            <w:r w:rsidRPr="00AE35C1">
              <w:rPr>
                <w:color w:val="000000"/>
                <w:sz w:val="17"/>
                <w:szCs w:val="17"/>
              </w:rPr>
              <w:t xml:space="preserve"> w liczbie osób pracujących ogółem,</w:t>
            </w:r>
          </w:p>
          <w:p w:rsidR="00057B01" w:rsidRPr="00AE35C1" w:rsidRDefault="00057B01" w:rsidP="00455F65">
            <w:pPr>
              <w:pStyle w:val="Akapitzlist"/>
              <w:numPr>
                <w:ilvl w:val="0"/>
                <w:numId w:val="17"/>
              </w:numPr>
              <w:spacing w:after="0" w:line="288" w:lineRule="auto"/>
              <w:ind w:left="232" w:hanging="232"/>
              <w:jc w:val="both"/>
              <w:rPr>
                <w:color w:val="000000"/>
                <w:sz w:val="17"/>
                <w:szCs w:val="17"/>
              </w:rPr>
            </w:pPr>
            <w:r w:rsidRPr="00AE35C1">
              <w:rPr>
                <w:color w:val="000000"/>
                <w:sz w:val="17"/>
                <w:szCs w:val="17"/>
              </w:rPr>
              <w:t>niski odsetek przedsiębiorstw innowacyjnych lub ponoszących nakłady na innowacje oraz niska  skłonność do współpracy podmiotów gospodarczych w tym zakresie,</w:t>
            </w:r>
          </w:p>
          <w:p w:rsidR="00E25E0D" w:rsidRPr="00AE35C1" w:rsidRDefault="00E25E0D" w:rsidP="00455F65">
            <w:pPr>
              <w:pStyle w:val="Akapitzlist"/>
              <w:numPr>
                <w:ilvl w:val="0"/>
                <w:numId w:val="17"/>
              </w:numPr>
              <w:spacing w:after="0" w:line="288" w:lineRule="auto"/>
              <w:ind w:left="232" w:hanging="232"/>
              <w:jc w:val="both"/>
              <w:rPr>
                <w:color w:val="000000"/>
                <w:sz w:val="17"/>
                <w:szCs w:val="17"/>
              </w:rPr>
            </w:pPr>
            <w:r w:rsidRPr="00AE35C1">
              <w:rPr>
                <w:color w:val="000000"/>
                <w:sz w:val="17"/>
                <w:szCs w:val="17"/>
              </w:rPr>
              <w:t>monokultura przemysłowa w Legnicko-Głogowskim Okręgu Miedziowym,</w:t>
            </w:r>
          </w:p>
          <w:p w:rsidR="00057B01" w:rsidRPr="00AE35C1" w:rsidRDefault="00057B01" w:rsidP="00455F65">
            <w:pPr>
              <w:pStyle w:val="Akapitzlist"/>
              <w:numPr>
                <w:ilvl w:val="0"/>
                <w:numId w:val="17"/>
              </w:numPr>
              <w:spacing w:after="0" w:line="288" w:lineRule="auto"/>
              <w:ind w:left="231" w:hanging="231"/>
              <w:jc w:val="both"/>
              <w:rPr>
                <w:color w:val="000000"/>
                <w:sz w:val="17"/>
                <w:szCs w:val="17"/>
              </w:rPr>
            </w:pPr>
            <w:r w:rsidRPr="00AE35C1">
              <w:rPr>
                <w:color w:val="000000"/>
                <w:sz w:val="17"/>
                <w:szCs w:val="17"/>
              </w:rPr>
              <w:t>znaczny udział długotrwale bezrobotnych,</w:t>
            </w:r>
          </w:p>
          <w:p w:rsidR="00057B01" w:rsidRPr="00AE35C1" w:rsidRDefault="00057B01" w:rsidP="00455F65">
            <w:pPr>
              <w:pStyle w:val="Default"/>
              <w:numPr>
                <w:ilvl w:val="0"/>
                <w:numId w:val="17"/>
              </w:numPr>
              <w:spacing w:line="288" w:lineRule="auto"/>
              <w:ind w:left="231" w:hanging="231"/>
              <w:contextualSpacing/>
              <w:jc w:val="both"/>
              <w:rPr>
                <w:rFonts w:ascii="Calibri" w:hAnsi="Calibri"/>
                <w:sz w:val="17"/>
                <w:szCs w:val="17"/>
              </w:rPr>
            </w:pPr>
            <w:r w:rsidRPr="00AE35C1">
              <w:rPr>
                <w:rFonts w:ascii="Calibri" w:hAnsi="Calibri"/>
                <w:sz w:val="17"/>
                <w:szCs w:val="17"/>
              </w:rPr>
              <w:t>niska i spadająca liczba osób fizycznych prowadzących działalność gospodarczą,</w:t>
            </w:r>
          </w:p>
          <w:p w:rsidR="00057B01" w:rsidRPr="00AE35C1" w:rsidRDefault="00057B01" w:rsidP="00455F65">
            <w:pPr>
              <w:pStyle w:val="Akapitzlist"/>
              <w:numPr>
                <w:ilvl w:val="0"/>
                <w:numId w:val="17"/>
              </w:numPr>
              <w:spacing w:after="0" w:line="288" w:lineRule="auto"/>
              <w:ind w:left="231" w:hanging="231"/>
              <w:jc w:val="both"/>
              <w:rPr>
                <w:color w:val="000000"/>
                <w:sz w:val="17"/>
                <w:szCs w:val="17"/>
              </w:rPr>
            </w:pPr>
            <w:r w:rsidRPr="00AE35C1">
              <w:rPr>
                <w:color w:val="000000"/>
                <w:sz w:val="17"/>
                <w:szCs w:val="17"/>
              </w:rPr>
              <w:t>mało korzystna struktura obszarowa gospodarstw rolnych, niski poziom produkcji zwierzęcej, w tym żywca rzeźnego i</w:t>
            </w:r>
            <w:r w:rsidR="006C024B" w:rsidRPr="00AE35C1">
              <w:rPr>
                <w:color w:val="000000"/>
                <w:sz w:val="17"/>
                <w:szCs w:val="17"/>
              </w:rPr>
              <w:t> </w:t>
            </w:r>
            <w:r w:rsidRPr="00AE35C1">
              <w:rPr>
                <w:color w:val="000000"/>
                <w:sz w:val="17"/>
                <w:szCs w:val="17"/>
              </w:rPr>
              <w:t>mleka oraz spadek zainteresowania prow</w:t>
            </w:r>
            <w:r w:rsidR="0038517C" w:rsidRPr="00AE35C1">
              <w:rPr>
                <w:color w:val="000000"/>
                <w:sz w:val="17"/>
                <w:szCs w:val="17"/>
              </w:rPr>
              <w:t xml:space="preserve">adzeniem produkcji </w:t>
            </w:r>
            <w:r w:rsidR="0038517C" w:rsidRPr="00AE35C1">
              <w:rPr>
                <w:color w:val="000000"/>
                <w:sz w:val="17"/>
                <w:szCs w:val="17"/>
              </w:rPr>
              <w:lastRenderedPageBreak/>
              <w:t>ekologicznej.</w:t>
            </w:r>
          </w:p>
        </w:tc>
      </w:tr>
    </w:tbl>
    <w:p w:rsidR="00057B01" w:rsidRPr="00AE35C1" w:rsidRDefault="00057B01" w:rsidP="009915ED">
      <w:pPr>
        <w:pStyle w:val="RDO"/>
        <w:spacing w:after="0" w:line="288" w:lineRule="auto"/>
        <w:rPr>
          <w:i w:val="0"/>
          <w:sz w:val="2"/>
          <w:szCs w:val="2"/>
        </w:rPr>
      </w:pPr>
    </w:p>
    <w:p w:rsidR="000C6BE4" w:rsidRPr="00AE35C1" w:rsidRDefault="000C6BE4" w:rsidP="009915ED">
      <w:pPr>
        <w:pStyle w:val="TEKST"/>
        <w:spacing w:after="0"/>
        <w:rPr>
          <w:sz w:val="19"/>
          <w:szCs w:val="19"/>
        </w:rPr>
        <w:sectPr w:rsidR="000C6BE4" w:rsidRPr="00AE35C1" w:rsidSect="00E73C96">
          <w:headerReference w:type="first" r:id="rId64"/>
          <w:footerReference w:type="first" r:id="rId65"/>
          <w:type w:val="continuous"/>
          <w:pgSz w:w="11906" w:h="16838"/>
          <w:pgMar w:top="1276" w:right="1276" w:bottom="993" w:left="1417" w:header="708" w:footer="708" w:gutter="0"/>
          <w:cols w:space="454"/>
          <w:titlePg/>
          <w:docGrid w:linePitch="360"/>
        </w:sectPr>
      </w:pPr>
    </w:p>
    <w:p w:rsidR="000C6BE4" w:rsidRPr="00AE35C1" w:rsidRDefault="000C6BE4" w:rsidP="00162FB0">
      <w:pPr>
        <w:pStyle w:val="Nagwek2"/>
        <w:numPr>
          <w:ilvl w:val="1"/>
          <w:numId w:val="59"/>
        </w:numPr>
        <w:spacing w:before="200"/>
        <w:ind w:left="567" w:hanging="567"/>
      </w:pPr>
      <w:bookmarkStart w:id="47" w:name="_Toc499582776"/>
      <w:bookmarkStart w:id="48" w:name="_Toc511716317"/>
      <w:r w:rsidRPr="00AE35C1">
        <w:lastRenderedPageBreak/>
        <w:t>INFRASTRUKTURA TECHNICZNA</w:t>
      </w:r>
      <w:bookmarkEnd w:id="47"/>
      <w:bookmarkEnd w:id="48"/>
    </w:p>
    <w:p w:rsidR="0099629B" w:rsidRPr="00AE35C1" w:rsidRDefault="0099629B" w:rsidP="005F49A2">
      <w:pPr>
        <w:spacing w:before="120" w:after="120" w:line="288" w:lineRule="auto"/>
        <w:jc w:val="both"/>
        <w:rPr>
          <w:rFonts w:cs="Arial"/>
          <w:b/>
          <w:color w:val="404040"/>
          <w:sz w:val="19"/>
          <w:szCs w:val="19"/>
        </w:rPr>
        <w:sectPr w:rsidR="0099629B" w:rsidRPr="00AE35C1" w:rsidSect="00E73C96">
          <w:type w:val="continuous"/>
          <w:pgSz w:w="11906" w:h="16838"/>
          <w:pgMar w:top="1276" w:right="1276" w:bottom="1417" w:left="1417" w:header="708" w:footer="708" w:gutter="0"/>
          <w:cols w:space="454"/>
          <w:titlePg/>
          <w:docGrid w:linePitch="360"/>
        </w:sectPr>
      </w:pPr>
    </w:p>
    <w:p w:rsidR="00455F65" w:rsidRDefault="000C6BE4" w:rsidP="00455F65">
      <w:pPr>
        <w:spacing w:before="120" w:after="0" w:line="288" w:lineRule="auto"/>
        <w:jc w:val="both"/>
        <w:rPr>
          <w:rFonts w:cs="Arial"/>
          <w:color w:val="000000"/>
          <w:sz w:val="19"/>
          <w:szCs w:val="19"/>
        </w:rPr>
      </w:pPr>
      <w:r w:rsidRPr="00AE35C1">
        <w:rPr>
          <w:rFonts w:cs="Arial"/>
          <w:b/>
          <w:color w:val="000000"/>
          <w:sz w:val="19"/>
          <w:szCs w:val="19"/>
        </w:rPr>
        <w:lastRenderedPageBreak/>
        <w:t>Produkcja energii elektrycznej</w:t>
      </w:r>
      <w:r w:rsidRPr="00AE35C1">
        <w:rPr>
          <w:rFonts w:cs="Arial"/>
          <w:color w:val="000000"/>
          <w:sz w:val="19"/>
          <w:szCs w:val="19"/>
        </w:rPr>
        <w:t xml:space="preserve"> w województwie dolnośląskim w latach 2010-2016 utrzymywała się na wyższym poziomie od średniej produkcji w</w:t>
      </w:r>
      <w:r w:rsidR="00D92D62" w:rsidRPr="00AE35C1">
        <w:rPr>
          <w:rFonts w:cs="Arial"/>
          <w:color w:val="000000"/>
          <w:sz w:val="19"/>
          <w:szCs w:val="19"/>
        </w:rPr>
        <w:t> </w:t>
      </w:r>
      <w:r w:rsidRPr="00AE35C1">
        <w:rPr>
          <w:rFonts w:cs="Arial"/>
          <w:color w:val="000000"/>
          <w:sz w:val="19"/>
          <w:szCs w:val="19"/>
        </w:rPr>
        <w:t xml:space="preserve">innych województwach. W 2016 roku wynosiła ok. 11 </w:t>
      </w:r>
      <w:proofErr w:type="spellStart"/>
      <w:r w:rsidRPr="00AE35C1">
        <w:rPr>
          <w:rFonts w:cs="Arial"/>
          <w:color w:val="000000"/>
          <w:sz w:val="19"/>
          <w:szCs w:val="19"/>
        </w:rPr>
        <w:t>TWh</w:t>
      </w:r>
      <w:proofErr w:type="spellEnd"/>
      <w:r w:rsidRPr="00AE35C1">
        <w:rPr>
          <w:rFonts w:cs="Arial"/>
          <w:color w:val="000000"/>
          <w:sz w:val="19"/>
          <w:szCs w:val="19"/>
        </w:rPr>
        <w:t xml:space="preserve"> (6. miejsce w kraju) i była o 18% niższa od poziomu produkcji energii elektrycznej w 2010 roku</w:t>
      </w:r>
      <w:r w:rsidRPr="00AE35C1">
        <w:rPr>
          <w:rStyle w:val="Odwoanieprzypisudolnego"/>
          <w:rFonts w:cs="Arial"/>
          <w:color w:val="000000"/>
          <w:sz w:val="19"/>
          <w:szCs w:val="19"/>
        </w:rPr>
        <w:footnoteReference w:id="9"/>
      </w:r>
      <w:r w:rsidRPr="00AE35C1">
        <w:rPr>
          <w:rFonts w:cs="Arial"/>
          <w:color w:val="000000"/>
          <w:sz w:val="19"/>
          <w:szCs w:val="19"/>
        </w:rPr>
        <w:t>. Na tle regionów UE, Dolny Śląsk wyróżnia się wysokim poziomem produkcji energii elektrycznej ze źródeł konwencjonalnych. Zużycie energii elektrycznej ogółem na 1 mieszkańca na terenie województwa w 2016 roku wynosiło 4 594,03 k</w:t>
      </w:r>
      <w:r w:rsidR="00CB2B3D" w:rsidRPr="00AE35C1">
        <w:rPr>
          <w:rFonts w:cs="Arial"/>
          <w:color w:val="000000"/>
          <w:sz w:val="19"/>
          <w:szCs w:val="19"/>
        </w:rPr>
        <w:t>Wh i od 2010 roku wzrosło o</w:t>
      </w:r>
      <w:r w:rsidR="00D92D62" w:rsidRPr="00AE35C1">
        <w:rPr>
          <w:rFonts w:cs="Arial"/>
          <w:color w:val="000000"/>
          <w:sz w:val="19"/>
          <w:szCs w:val="19"/>
        </w:rPr>
        <w:t> </w:t>
      </w:r>
      <w:r w:rsidR="00CB2B3D" w:rsidRPr="00AE35C1">
        <w:rPr>
          <w:rFonts w:cs="Arial"/>
          <w:color w:val="000000"/>
          <w:sz w:val="19"/>
          <w:szCs w:val="19"/>
        </w:rPr>
        <w:t>9%.</w:t>
      </w:r>
      <w:r w:rsidR="005B6122" w:rsidRPr="00AE35C1">
        <w:rPr>
          <w:rFonts w:cs="Arial"/>
          <w:color w:val="000000"/>
          <w:sz w:val="19"/>
          <w:szCs w:val="19"/>
        </w:rPr>
        <w:t xml:space="preserve"> </w:t>
      </w:r>
    </w:p>
    <w:p w:rsidR="00455F65" w:rsidRPr="00AE35C1" w:rsidRDefault="00455F65" w:rsidP="00455F65">
      <w:pPr>
        <w:spacing w:before="120" w:after="0" w:line="288" w:lineRule="auto"/>
        <w:jc w:val="both"/>
        <w:rPr>
          <w:rFonts w:cs="Arial"/>
          <w:color w:val="000000"/>
          <w:sz w:val="19"/>
          <w:szCs w:val="19"/>
        </w:rPr>
      </w:pPr>
      <w:r w:rsidRPr="002050A7">
        <w:rPr>
          <w:rFonts w:ascii="Century Gothic" w:eastAsia="Times New Roman" w:hAnsi="Century Gothic"/>
          <w:iCs/>
          <w:caps/>
          <w:noProof/>
          <w:color w:val="000000"/>
          <w:sz w:val="16"/>
          <w:szCs w:val="16"/>
          <w:lang w:eastAsia="pl-PL"/>
        </w:rPr>
        <w:t>M</w:t>
      </w:r>
      <w:r w:rsidRPr="00AE35C1">
        <w:rPr>
          <w:rFonts w:ascii="Century Gothic" w:eastAsia="Times New Roman" w:hAnsi="Century Gothic"/>
          <w:iCs/>
          <w:caps/>
          <w:noProof/>
          <w:color w:val="000000"/>
          <w:sz w:val="16"/>
          <w:szCs w:val="16"/>
          <w:lang w:eastAsia="pl-PL"/>
        </w:rPr>
        <w:t>APA 2</w:t>
      </w:r>
      <w:r w:rsidR="004964B3">
        <w:rPr>
          <w:rFonts w:ascii="Century Gothic" w:eastAsia="Times New Roman" w:hAnsi="Century Gothic"/>
          <w:iCs/>
          <w:caps/>
          <w:noProof/>
          <w:color w:val="000000"/>
          <w:sz w:val="16"/>
          <w:szCs w:val="16"/>
          <w:lang w:eastAsia="pl-PL"/>
        </w:rPr>
        <w:t>8</w:t>
      </w:r>
      <w:r w:rsidRPr="00AE35C1">
        <w:rPr>
          <w:rFonts w:ascii="Century Gothic" w:eastAsia="Times New Roman" w:hAnsi="Century Gothic"/>
          <w:iCs/>
          <w:caps/>
          <w:noProof/>
          <w:color w:val="000000"/>
          <w:sz w:val="16"/>
          <w:szCs w:val="16"/>
          <w:lang w:eastAsia="pl-PL"/>
        </w:rPr>
        <w:t>. Energia elektryczna z węgla kamiennego i brunatnego w regionach nuts2 w europie [2015].</w:t>
      </w:r>
    </w:p>
    <w:p w:rsidR="00455F65" w:rsidRPr="00AE35C1" w:rsidRDefault="002576FC" w:rsidP="00455F65">
      <w:pPr>
        <w:spacing w:after="0" w:line="288" w:lineRule="auto"/>
        <w:jc w:val="center"/>
        <w:rPr>
          <w:color w:val="000000"/>
        </w:rPr>
      </w:pPr>
      <w:r w:rsidRPr="002576FC">
        <w:rPr>
          <w:noProof/>
          <w:color w:val="000000"/>
          <w:lang w:eastAsia="pl-PL"/>
        </w:rPr>
        <w:drawing>
          <wp:inline distT="0" distB="0" distL="0" distR="0">
            <wp:extent cx="2566467" cy="3569693"/>
            <wp:effectExtent l="0" t="0" r="5715" b="0"/>
            <wp:docPr id="94" name="Obraz 94" descr="P:\ PROJEKTY 2017\09 SRWD 2030\04_Grafika\jpg\UE\Mapa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 PROJEKTY 2017\09 SRWD 2030\04_Grafika\jpg\UE\Mapa 26.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2565" cy="3578175"/>
                    </a:xfrm>
                    <a:prstGeom prst="rect">
                      <a:avLst/>
                    </a:prstGeom>
                    <a:noFill/>
                    <a:ln>
                      <a:noFill/>
                    </a:ln>
                  </pic:spPr>
                </pic:pic>
              </a:graphicData>
            </a:graphic>
          </wp:inline>
        </w:drawing>
      </w:r>
    </w:p>
    <w:p w:rsidR="00455F65" w:rsidRPr="00D113CA" w:rsidRDefault="00DF7C1C" w:rsidP="00455F65">
      <w:pPr>
        <w:spacing w:after="0" w:line="288" w:lineRule="auto"/>
        <w:jc w:val="both"/>
        <w:rPr>
          <w:i/>
          <w:color w:val="000000"/>
          <w:sz w:val="16"/>
          <w:szCs w:val="16"/>
        </w:rPr>
      </w:pPr>
      <w:r w:rsidRPr="00D113CA">
        <w:rPr>
          <w:i/>
          <w:color w:val="000000"/>
          <w:sz w:val="16"/>
          <w:szCs w:val="16"/>
        </w:rPr>
        <w:t>Źródło: Siódmy raport na temat spójności gospodarczej, społecznej i terytorialnej, 2017.</w:t>
      </w:r>
    </w:p>
    <w:p w:rsidR="006B79DC" w:rsidRDefault="006B79DC" w:rsidP="006B79DC">
      <w:pPr>
        <w:spacing w:before="120" w:after="0" w:line="288" w:lineRule="auto"/>
        <w:jc w:val="both"/>
        <w:rPr>
          <w:rFonts w:cs="Arial"/>
          <w:color w:val="000000"/>
          <w:sz w:val="19"/>
          <w:szCs w:val="19"/>
        </w:rPr>
      </w:pPr>
      <w:r w:rsidRPr="00AE35C1">
        <w:rPr>
          <w:rFonts w:cs="Arial"/>
          <w:color w:val="000000"/>
          <w:sz w:val="19"/>
          <w:szCs w:val="19"/>
        </w:rPr>
        <w:t>W województwie funkcjonuje 159 elektrowni opartych o </w:t>
      </w:r>
      <w:r w:rsidRPr="00AE35C1">
        <w:rPr>
          <w:rFonts w:cs="Arial"/>
          <w:b/>
          <w:color w:val="000000"/>
          <w:sz w:val="19"/>
          <w:szCs w:val="19"/>
        </w:rPr>
        <w:t>odnawialne źródła energii</w:t>
      </w:r>
      <w:r w:rsidRPr="00AE35C1">
        <w:rPr>
          <w:rFonts w:cs="Arial"/>
          <w:color w:val="000000"/>
          <w:sz w:val="19"/>
          <w:szCs w:val="19"/>
        </w:rPr>
        <w:t xml:space="preserve"> (OZE) o łącznej mocy 376,494 MW. Jeszcze w 2015 roku województwo dolnośląskie osiągało, wśród regionów UE, jeden z najniższych poziomów produkcji energii elektrycznej z OZE. </w:t>
      </w:r>
    </w:p>
    <w:p w:rsidR="000C6BE4" w:rsidRPr="00AE35C1" w:rsidRDefault="000C6BE4" w:rsidP="00C32CB9">
      <w:pPr>
        <w:pStyle w:val="MAPA"/>
        <w:spacing w:line="288" w:lineRule="auto"/>
        <w:ind w:left="0" w:firstLine="0"/>
        <w:jc w:val="both"/>
      </w:pPr>
      <w:r w:rsidRPr="00AE35C1">
        <w:lastRenderedPageBreak/>
        <w:t>MAPA 2</w:t>
      </w:r>
      <w:r w:rsidR="004964B3">
        <w:t>9</w:t>
      </w:r>
      <w:r w:rsidRPr="00AE35C1">
        <w:t>. Energia elektryczna wytwarzana z odnawialnych źródeł energii w</w:t>
      </w:r>
      <w:r w:rsidR="0099629B" w:rsidRPr="00AE35C1">
        <w:t> </w:t>
      </w:r>
      <w:r w:rsidRPr="00AE35C1">
        <w:t>regionach nuts2 w europie [2015].</w:t>
      </w:r>
    </w:p>
    <w:p w:rsidR="000C6BE4" w:rsidRPr="00AE35C1" w:rsidRDefault="00606D71" w:rsidP="00691FEE">
      <w:pPr>
        <w:spacing w:after="0" w:line="288" w:lineRule="auto"/>
        <w:jc w:val="center"/>
        <w:rPr>
          <w:color w:val="000000"/>
          <w:lang w:val="en-US"/>
        </w:rPr>
      </w:pPr>
      <w:r w:rsidRPr="00606D71">
        <w:rPr>
          <w:noProof/>
          <w:color w:val="000000"/>
          <w:lang w:eastAsia="pl-PL"/>
        </w:rPr>
        <w:drawing>
          <wp:inline distT="0" distB="0" distL="0" distR="0">
            <wp:extent cx="2780665" cy="3867622"/>
            <wp:effectExtent l="0" t="0" r="635" b="0"/>
            <wp:docPr id="95" name="Obraz 95" descr="P:\ PROJEKTY 2017\09 SRWD 2030\04_Grafika\jpg\UE\Mapa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 PROJEKTY 2017\09 SRWD 2030\04_Grafika\jpg\UE\Mapa 27.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0665" cy="3867622"/>
                    </a:xfrm>
                    <a:prstGeom prst="rect">
                      <a:avLst/>
                    </a:prstGeom>
                    <a:noFill/>
                    <a:ln>
                      <a:noFill/>
                    </a:ln>
                  </pic:spPr>
                </pic:pic>
              </a:graphicData>
            </a:graphic>
          </wp:inline>
        </w:drawing>
      </w:r>
    </w:p>
    <w:p w:rsidR="00455F65" w:rsidRPr="00D113CA" w:rsidRDefault="00DF7C1C" w:rsidP="00455F65">
      <w:pPr>
        <w:spacing w:after="120" w:line="288" w:lineRule="auto"/>
        <w:ind w:left="567" w:hanging="567"/>
        <w:jc w:val="both"/>
        <w:rPr>
          <w:i/>
          <w:color w:val="000000"/>
          <w:sz w:val="16"/>
          <w:szCs w:val="16"/>
        </w:rPr>
      </w:pPr>
      <w:r w:rsidRPr="00D113CA">
        <w:rPr>
          <w:i/>
          <w:color w:val="000000"/>
          <w:sz w:val="16"/>
          <w:szCs w:val="16"/>
        </w:rPr>
        <w:t>Źródło: Siódmy raport na temat spójności gospodarczej, społecznej i terytorialnej,</w:t>
      </w:r>
      <w:r w:rsidR="00905F49" w:rsidRPr="00606D71">
        <w:rPr>
          <w:color w:val="000000"/>
        </w:rPr>
        <w:t xml:space="preserve"> </w:t>
      </w:r>
      <w:r w:rsidRPr="00D113CA">
        <w:rPr>
          <w:i/>
          <w:color w:val="000000"/>
          <w:sz w:val="16"/>
          <w:szCs w:val="16"/>
        </w:rPr>
        <w:t>2017.</w:t>
      </w:r>
    </w:p>
    <w:p w:rsidR="006B79DC" w:rsidRPr="006B79DC" w:rsidRDefault="006B79DC" w:rsidP="006B79DC">
      <w:pPr>
        <w:pStyle w:val="TEKST"/>
        <w:spacing w:after="120"/>
        <w:rPr>
          <w:rFonts w:cs="Arial"/>
          <w:b/>
          <w:sz w:val="19"/>
          <w:szCs w:val="19"/>
        </w:rPr>
      </w:pPr>
      <w:r w:rsidRPr="00AE35C1">
        <w:rPr>
          <w:rFonts w:cs="Arial"/>
          <w:sz w:val="19"/>
          <w:szCs w:val="19"/>
        </w:rPr>
        <w:t>W 2016 roku udział energii odnawialnej w produkcji energii elektrycznej ogółem wynosił w regionie 6,5% i nie przekraczał średniej dla Polski wynoszącej 13,7%, a od 2010 do 2016 roku najdynamiczniej rozwinął się w</w:t>
      </w:r>
      <w:r>
        <w:rPr>
          <w:rFonts w:cs="Arial"/>
          <w:sz w:val="19"/>
          <w:szCs w:val="19"/>
        </w:rPr>
        <w:t> </w:t>
      </w:r>
      <w:r w:rsidRPr="00AE35C1">
        <w:rPr>
          <w:rFonts w:cs="Arial"/>
          <w:sz w:val="19"/>
          <w:szCs w:val="19"/>
        </w:rPr>
        <w:t>produkcji energii elektrycznej z OZE rynek energetyki wiatrowej.</w:t>
      </w:r>
    </w:p>
    <w:p w:rsidR="00031061" w:rsidRPr="00AE35C1" w:rsidRDefault="00691FEE" w:rsidP="00455F65">
      <w:pPr>
        <w:pStyle w:val="TEKST"/>
        <w:rPr>
          <w:rFonts w:cs="Arial"/>
          <w:sz w:val="19"/>
          <w:szCs w:val="19"/>
        </w:rPr>
      </w:pPr>
      <w:r w:rsidRPr="00AE35C1">
        <w:rPr>
          <w:rFonts w:cs="Arial"/>
          <w:sz w:val="19"/>
          <w:szCs w:val="19"/>
        </w:rPr>
        <w:t xml:space="preserve">Długość </w:t>
      </w:r>
      <w:r w:rsidRPr="00AE35C1">
        <w:rPr>
          <w:rFonts w:cs="Arial"/>
          <w:b/>
          <w:sz w:val="19"/>
          <w:szCs w:val="19"/>
        </w:rPr>
        <w:t>sieci gazowej</w:t>
      </w:r>
      <w:r w:rsidRPr="00AE35C1">
        <w:rPr>
          <w:rFonts w:cs="Arial"/>
          <w:sz w:val="19"/>
          <w:szCs w:val="19"/>
        </w:rPr>
        <w:t xml:space="preserve"> w regionie w 2016 roku wynosiła 9 239,3 km i klasyfikowała województwo na 6. miejscu w kraju. </w:t>
      </w:r>
      <w:r w:rsidR="00455F65" w:rsidRPr="00AE35C1">
        <w:rPr>
          <w:rFonts w:cs="Arial"/>
          <w:sz w:val="19"/>
          <w:szCs w:val="19"/>
        </w:rPr>
        <w:t>Od 2010 do 2016 roku jej długość na Dolnym Śląsku wzrosła o 14,6%.</w:t>
      </w:r>
    </w:p>
    <w:p w:rsidR="00077126" w:rsidRPr="00AE35C1" w:rsidRDefault="00077126" w:rsidP="00077126">
      <w:pPr>
        <w:pStyle w:val="MAPA"/>
        <w:spacing w:line="288" w:lineRule="auto"/>
        <w:jc w:val="both"/>
      </w:pPr>
      <w:r w:rsidRPr="00AE35C1">
        <w:t xml:space="preserve">MAPA </w:t>
      </w:r>
      <w:r w:rsidR="004964B3">
        <w:t>30</w:t>
      </w:r>
      <w:r w:rsidRPr="00AE35C1">
        <w:t>. Zaopatrzenie w gaz na terenie województwa dolnośląskiego [2016].</w:t>
      </w:r>
    </w:p>
    <w:p w:rsidR="00077126" w:rsidRPr="00AE35C1" w:rsidRDefault="0055701D" w:rsidP="00077126">
      <w:pPr>
        <w:pStyle w:val="WBUpunktowanie"/>
        <w:numPr>
          <w:ilvl w:val="0"/>
          <w:numId w:val="0"/>
        </w:numPr>
        <w:spacing w:line="288" w:lineRule="auto"/>
        <w:rPr>
          <w:b/>
          <w:color w:val="000000"/>
        </w:rPr>
      </w:pPr>
      <w:r>
        <w:rPr>
          <w:b/>
          <w:noProof/>
          <w:color w:val="000000"/>
        </w:rPr>
        <w:lastRenderedPageBreak/>
        <w:drawing>
          <wp:inline distT="0" distB="0" distL="0" distR="0">
            <wp:extent cx="2819400" cy="2638425"/>
            <wp:effectExtent l="19050" t="0" r="0" b="0"/>
            <wp:docPr id="3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68" cstate="print"/>
                    <a:srcRect/>
                    <a:stretch>
                      <a:fillRect/>
                    </a:stretch>
                  </pic:blipFill>
                  <pic:spPr bwMode="auto">
                    <a:xfrm>
                      <a:off x="0" y="0"/>
                      <a:ext cx="2819400" cy="2638425"/>
                    </a:xfrm>
                    <a:prstGeom prst="rect">
                      <a:avLst/>
                    </a:prstGeom>
                    <a:noFill/>
                    <a:ln w="9525">
                      <a:noFill/>
                      <a:miter lim="800000"/>
                      <a:headEnd/>
                      <a:tailEnd/>
                    </a:ln>
                  </pic:spPr>
                </pic:pic>
              </a:graphicData>
            </a:graphic>
          </wp:inline>
        </w:drawing>
      </w:r>
    </w:p>
    <w:p w:rsidR="00077126" w:rsidRPr="00AE35C1" w:rsidRDefault="00077126" w:rsidP="00077126">
      <w:pPr>
        <w:pStyle w:val="RDO"/>
        <w:rPr>
          <w:rFonts w:eastAsia="Calibri"/>
          <w:color w:val="000000"/>
          <w:lang w:eastAsia="en-US"/>
        </w:rPr>
      </w:pPr>
      <w:r w:rsidRPr="00AE35C1">
        <w:rPr>
          <w:rFonts w:eastAsia="Calibri"/>
          <w:color w:val="000000"/>
          <w:lang w:eastAsia="en-US"/>
        </w:rPr>
        <w:t>Źródło: opracowanie własne na podstawie danych GUS.</w:t>
      </w:r>
    </w:p>
    <w:p w:rsidR="00455F65" w:rsidRPr="00AE35C1" w:rsidRDefault="00455F65" w:rsidP="00A45B48">
      <w:pPr>
        <w:spacing w:after="120" w:line="288" w:lineRule="auto"/>
        <w:jc w:val="both"/>
        <w:rPr>
          <w:sz w:val="19"/>
          <w:szCs w:val="19"/>
        </w:rPr>
      </w:pPr>
      <w:r w:rsidRPr="00AE35C1">
        <w:rPr>
          <w:rFonts w:cs="Arial"/>
          <w:sz w:val="19"/>
          <w:szCs w:val="19"/>
        </w:rPr>
        <w:t>Dzięki temu w 2016 roku 61,2% mieszkańców województwa korzystało z gazu ziemnego doprowadzanego sieciowo, przy czym nadal występują dysproporcje pomiędzy dostępem do sieci gazowej w miastach i na obszarach wiejskich.</w:t>
      </w:r>
    </w:p>
    <w:p w:rsidR="00031061" w:rsidRPr="00AE35C1" w:rsidRDefault="00691FEE" w:rsidP="00A45B48">
      <w:pPr>
        <w:spacing w:after="120" w:line="288" w:lineRule="auto"/>
        <w:jc w:val="both"/>
        <w:rPr>
          <w:sz w:val="19"/>
          <w:szCs w:val="19"/>
        </w:rPr>
      </w:pPr>
      <w:r w:rsidRPr="00AE35C1">
        <w:rPr>
          <w:sz w:val="19"/>
          <w:szCs w:val="19"/>
        </w:rPr>
        <w:t xml:space="preserve">W latach 2010-2016 całkowita długość rozdzielczej </w:t>
      </w:r>
      <w:r w:rsidRPr="00AE35C1">
        <w:rPr>
          <w:b/>
          <w:sz w:val="19"/>
          <w:szCs w:val="19"/>
        </w:rPr>
        <w:t xml:space="preserve">sieci wodociągowej </w:t>
      </w:r>
      <w:r w:rsidRPr="00AE35C1">
        <w:rPr>
          <w:sz w:val="19"/>
          <w:szCs w:val="19"/>
        </w:rPr>
        <w:t>wzrosła na terenie Dolnego Śląska o 1 419 km (tj. o 9,8%). W 2016 roku z</w:t>
      </w:r>
      <w:r w:rsidR="00160008" w:rsidRPr="00AE35C1">
        <w:rPr>
          <w:sz w:val="19"/>
          <w:szCs w:val="19"/>
        </w:rPr>
        <w:t> </w:t>
      </w:r>
      <w:r w:rsidRPr="00AE35C1">
        <w:rPr>
          <w:sz w:val="19"/>
          <w:szCs w:val="19"/>
        </w:rPr>
        <w:t xml:space="preserve">sieci wodociągowej korzystało 94,9% ogółu ludności województwa. Wszystkie miasta regionu posiadały wodociągi komunalne, z których korzystało 97,7% ludności. Natomiast na terenach wiejskich od 2010 roku nastąpił znaczny przyrost liczby użytkowników sieci wodociągowych i w 2016 roku wynosił on 88,8% ogółu ludności. Różnica pomiędzy odsetkiem ludności korzystającej z wodociągu i kanalizacji od 2010 roku sukcesywnie spada i w 2016 roku wynosiła 18,6%, przy czym w miastach wartość ta wynosi 6,9%, natomiast na terenach wiejskich aż 44,6%. </w:t>
      </w:r>
    </w:p>
    <w:p w:rsidR="00031061" w:rsidRPr="00AE35C1" w:rsidRDefault="00691FEE" w:rsidP="00A45B48">
      <w:pPr>
        <w:spacing w:after="120" w:line="288" w:lineRule="auto"/>
        <w:jc w:val="both"/>
        <w:rPr>
          <w:sz w:val="19"/>
          <w:szCs w:val="19"/>
        </w:rPr>
      </w:pPr>
      <w:r w:rsidRPr="00AE35C1">
        <w:rPr>
          <w:sz w:val="19"/>
          <w:szCs w:val="19"/>
        </w:rPr>
        <w:t xml:space="preserve">Długość </w:t>
      </w:r>
      <w:r w:rsidRPr="00AE35C1">
        <w:rPr>
          <w:b/>
          <w:sz w:val="19"/>
          <w:szCs w:val="19"/>
        </w:rPr>
        <w:t>sieci kanalizacyjnej</w:t>
      </w:r>
      <w:r w:rsidRPr="00AE35C1">
        <w:rPr>
          <w:sz w:val="19"/>
          <w:szCs w:val="19"/>
        </w:rPr>
        <w:t xml:space="preserve"> w regionie wzrosła od 2010 roku o 35,6% i w 2016 roku wynosiła 11 186,9 km, </w:t>
      </w:r>
      <w:r w:rsidR="008F5C85" w:rsidRPr="00AE35C1">
        <w:rPr>
          <w:sz w:val="19"/>
          <w:szCs w:val="19"/>
        </w:rPr>
        <w:t>a </w:t>
      </w:r>
      <w:r w:rsidRPr="00AE35C1">
        <w:rPr>
          <w:sz w:val="19"/>
          <w:szCs w:val="19"/>
        </w:rPr>
        <w:t>województwo doln</w:t>
      </w:r>
      <w:r w:rsidR="00160008" w:rsidRPr="00AE35C1">
        <w:rPr>
          <w:sz w:val="19"/>
          <w:szCs w:val="19"/>
        </w:rPr>
        <w:t>ośląskie zajmowało 6. miejsce w </w:t>
      </w:r>
      <w:r w:rsidRPr="00AE35C1">
        <w:rPr>
          <w:sz w:val="19"/>
          <w:szCs w:val="19"/>
        </w:rPr>
        <w:t>kraju pod względem długości czynnej sieci kanalizacyjnej odd</w:t>
      </w:r>
      <w:r w:rsidR="00D92D62" w:rsidRPr="00AE35C1">
        <w:rPr>
          <w:sz w:val="19"/>
          <w:szCs w:val="19"/>
        </w:rPr>
        <w:t>anej do użytku. W 2016 roku z </w:t>
      </w:r>
      <w:r w:rsidRPr="00AE35C1">
        <w:rPr>
          <w:b/>
          <w:sz w:val="19"/>
          <w:szCs w:val="19"/>
        </w:rPr>
        <w:t>oczyszczalni</w:t>
      </w:r>
      <w:r w:rsidRPr="00AE35C1">
        <w:rPr>
          <w:sz w:val="19"/>
          <w:szCs w:val="19"/>
        </w:rPr>
        <w:t xml:space="preserve"> korzystało 80,7% </w:t>
      </w:r>
      <w:r w:rsidR="004C717D" w:rsidRPr="00AE35C1">
        <w:rPr>
          <w:sz w:val="19"/>
          <w:szCs w:val="19"/>
        </w:rPr>
        <w:t>mies</w:t>
      </w:r>
      <w:r w:rsidR="00031061" w:rsidRPr="00AE35C1">
        <w:rPr>
          <w:sz w:val="19"/>
          <w:szCs w:val="19"/>
        </w:rPr>
        <w:t>zkańców (3. miejsce w kraju), z </w:t>
      </w:r>
      <w:r w:rsidR="004C717D" w:rsidRPr="00AE35C1">
        <w:rPr>
          <w:sz w:val="19"/>
          <w:szCs w:val="19"/>
        </w:rPr>
        <w:t xml:space="preserve">czego 96,5% w miastach i 45,8% na wsi. </w:t>
      </w:r>
    </w:p>
    <w:p w:rsidR="004C717D" w:rsidRPr="00AE35C1" w:rsidRDefault="004C717D" w:rsidP="00A45B48">
      <w:pPr>
        <w:spacing w:after="120" w:line="288" w:lineRule="auto"/>
        <w:jc w:val="both"/>
        <w:rPr>
          <w:rFonts w:cs="Arial"/>
          <w:color w:val="000000"/>
          <w:sz w:val="19"/>
          <w:szCs w:val="19"/>
        </w:rPr>
      </w:pPr>
      <w:r w:rsidRPr="00AE35C1">
        <w:rPr>
          <w:rFonts w:cs="Arial"/>
          <w:sz w:val="19"/>
          <w:szCs w:val="19"/>
        </w:rPr>
        <w:t xml:space="preserve">Od 2010 roku na Dolnym Śląsku ilość zmieszanych </w:t>
      </w:r>
      <w:r w:rsidRPr="00AE35C1">
        <w:rPr>
          <w:rFonts w:cs="Arial"/>
          <w:b/>
          <w:sz w:val="19"/>
          <w:szCs w:val="19"/>
        </w:rPr>
        <w:t xml:space="preserve">odpadów </w:t>
      </w:r>
      <w:r w:rsidRPr="00AE35C1">
        <w:rPr>
          <w:rFonts w:cs="Arial"/>
          <w:sz w:val="19"/>
          <w:szCs w:val="19"/>
        </w:rPr>
        <w:t xml:space="preserve">zebranych w ciągu roku </w:t>
      </w:r>
      <w:r w:rsidR="00D31632" w:rsidRPr="00AE35C1">
        <w:rPr>
          <w:rFonts w:cs="Arial"/>
          <w:sz w:val="19"/>
          <w:szCs w:val="19"/>
        </w:rPr>
        <w:t xml:space="preserve">w przeliczeniu </w:t>
      </w:r>
      <w:r w:rsidRPr="00AE35C1">
        <w:rPr>
          <w:rFonts w:cs="Arial"/>
          <w:sz w:val="19"/>
          <w:szCs w:val="19"/>
        </w:rPr>
        <w:t xml:space="preserve">na </w:t>
      </w:r>
      <w:r w:rsidR="00CC5895">
        <w:rPr>
          <w:rFonts w:cs="Arial"/>
          <w:sz w:val="19"/>
          <w:szCs w:val="19"/>
        </w:rPr>
        <w:br/>
      </w:r>
      <w:r w:rsidRPr="00AE35C1">
        <w:rPr>
          <w:rFonts w:cs="Arial"/>
          <w:sz w:val="19"/>
          <w:szCs w:val="19"/>
        </w:rPr>
        <w:t xml:space="preserve">1 mieszkańca ulega wahaniom. Od 2013 roku zauważalny jest jednak coroczny wzrost wartości </w:t>
      </w:r>
      <w:r w:rsidR="00D31632" w:rsidRPr="00AE35C1">
        <w:rPr>
          <w:rFonts w:cs="Arial"/>
          <w:sz w:val="19"/>
          <w:szCs w:val="19"/>
        </w:rPr>
        <w:t xml:space="preserve">tego </w:t>
      </w:r>
      <w:r w:rsidRPr="00AE35C1">
        <w:rPr>
          <w:rFonts w:cs="Arial"/>
          <w:sz w:val="19"/>
          <w:szCs w:val="19"/>
        </w:rPr>
        <w:t>wskaźnika. Jednocześnie</w:t>
      </w:r>
      <w:r w:rsidRPr="00AE35C1" w:rsidDel="00833167">
        <w:rPr>
          <w:rFonts w:cs="Arial"/>
          <w:sz w:val="19"/>
          <w:szCs w:val="19"/>
        </w:rPr>
        <w:t xml:space="preserve"> </w:t>
      </w:r>
      <w:r w:rsidRPr="00AE35C1">
        <w:rPr>
          <w:rFonts w:cs="Arial"/>
          <w:sz w:val="19"/>
          <w:szCs w:val="19"/>
        </w:rPr>
        <w:t xml:space="preserve">systematycznie </w:t>
      </w:r>
      <w:r w:rsidR="00D31632" w:rsidRPr="00AE35C1">
        <w:rPr>
          <w:rFonts w:cs="Arial"/>
          <w:sz w:val="19"/>
          <w:szCs w:val="19"/>
        </w:rPr>
        <w:t xml:space="preserve">zwiększa się </w:t>
      </w:r>
      <w:r w:rsidRPr="00AE35C1">
        <w:rPr>
          <w:rFonts w:cs="Arial"/>
          <w:sz w:val="19"/>
          <w:szCs w:val="19"/>
        </w:rPr>
        <w:t xml:space="preserve">ilość odpadów zebranych selektywnie. Od 2010 roku nastąpił wzrost udziału </w:t>
      </w:r>
      <w:r w:rsidR="0022557E" w:rsidRPr="00AE35C1">
        <w:rPr>
          <w:rFonts w:cs="Arial"/>
          <w:sz w:val="19"/>
          <w:szCs w:val="19"/>
        </w:rPr>
        <w:t xml:space="preserve">odpadów zebranych selektywnie </w:t>
      </w:r>
      <w:r w:rsidR="0022557E" w:rsidRPr="00AE35C1">
        <w:rPr>
          <w:rFonts w:cs="Arial"/>
          <w:sz w:val="19"/>
          <w:szCs w:val="19"/>
        </w:rPr>
        <w:lastRenderedPageBreak/>
        <w:t>w </w:t>
      </w:r>
      <w:r w:rsidRPr="00AE35C1">
        <w:rPr>
          <w:rFonts w:cs="Arial"/>
          <w:sz w:val="19"/>
          <w:szCs w:val="19"/>
        </w:rPr>
        <w:t xml:space="preserve">stosunku do ogółu odpadów, z wartości 7,1% do 21,3%, (średnia dla Polski </w:t>
      </w:r>
      <w:r w:rsidR="00D31632" w:rsidRPr="00AE35C1">
        <w:rPr>
          <w:rFonts w:ascii="Times New Roman" w:hAnsi="Times New Roman"/>
          <w:sz w:val="19"/>
          <w:szCs w:val="19"/>
        </w:rPr>
        <w:t>−</w:t>
      </w:r>
      <w:r w:rsidRPr="00AE35C1">
        <w:rPr>
          <w:rFonts w:cs="Arial"/>
          <w:sz w:val="19"/>
          <w:szCs w:val="19"/>
        </w:rPr>
        <w:t> 25,2%).</w:t>
      </w:r>
    </w:p>
    <w:p w:rsidR="005728D9" w:rsidRPr="00AE35C1" w:rsidRDefault="005728D9" w:rsidP="00C32CB9">
      <w:pPr>
        <w:spacing w:before="120" w:after="120" w:line="288" w:lineRule="auto"/>
        <w:jc w:val="both"/>
        <w:rPr>
          <w:sz w:val="19"/>
          <w:szCs w:val="19"/>
        </w:rPr>
      </w:pPr>
      <w:r w:rsidRPr="00AE35C1">
        <w:rPr>
          <w:rFonts w:cs="Arial"/>
          <w:color w:val="000000"/>
          <w:sz w:val="19"/>
          <w:szCs w:val="19"/>
        </w:rPr>
        <w:t>Województwo dolnośląskie, realizując zasady zrównoważonego i niskoemisyjnego rozwoju, wspiera przekształcenie gospodarki regionu z dotychczas obowiązującego systemu gospodarki linearnej opartej na zasadzie „weź –</w:t>
      </w:r>
      <w:r w:rsidR="00031061" w:rsidRPr="00AE35C1">
        <w:rPr>
          <w:rFonts w:cs="Arial"/>
          <w:color w:val="000000"/>
          <w:sz w:val="19"/>
          <w:szCs w:val="19"/>
        </w:rPr>
        <w:t xml:space="preserve"> wyprodukuj – zużyj – wyrzuć” w </w:t>
      </w:r>
      <w:r w:rsidRPr="00AE35C1">
        <w:rPr>
          <w:rFonts w:cs="Arial"/>
          <w:color w:val="000000"/>
          <w:sz w:val="19"/>
          <w:szCs w:val="19"/>
        </w:rPr>
        <w:t xml:space="preserve">stronę bardziej efektywnej i przyjaznej dla środowiska </w:t>
      </w:r>
      <w:r w:rsidRPr="00AE35C1">
        <w:rPr>
          <w:rFonts w:cs="Arial"/>
          <w:b/>
          <w:color w:val="000000"/>
          <w:sz w:val="19"/>
          <w:szCs w:val="19"/>
        </w:rPr>
        <w:t xml:space="preserve">Gospodarki Obiegu Zamkniętego (GOZ). </w:t>
      </w:r>
      <w:r w:rsidR="008F5C85" w:rsidRPr="00AE35C1">
        <w:rPr>
          <w:rFonts w:cs="Arial"/>
          <w:color w:val="000000"/>
          <w:sz w:val="19"/>
          <w:szCs w:val="19"/>
        </w:rPr>
        <w:t>Przejście </w:t>
      </w:r>
      <w:r w:rsidR="00031061" w:rsidRPr="00AE35C1">
        <w:rPr>
          <w:rFonts w:cs="Arial"/>
          <w:color w:val="000000"/>
          <w:sz w:val="19"/>
          <w:szCs w:val="19"/>
        </w:rPr>
        <w:t>na </w:t>
      </w:r>
      <w:r w:rsidRPr="00AE35C1">
        <w:rPr>
          <w:rFonts w:cs="Arial"/>
          <w:color w:val="000000"/>
          <w:sz w:val="19"/>
          <w:szCs w:val="19"/>
        </w:rPr>
        <w:t xml:space="preserve">GOZ zwiększy konkurencyjność regionalnych podmiotów gospodarczych, ochroni przedsiębiorstwa przed niedoborem zasobów i niestabilnością cen, przyczyni się </w:t>
      </w:r>
      <w:r w:rsidR="00031061" w:rsidRPr="00AE35C1">
        <w:rPr>
          <w:rFonts w:cs="Arial"/>
          <w:color w:val="000000"/>
          <w:sz w:val="19"/>
          <w:szCs w:val="19"/>
        </w:rPr>
        <w:t>do wydajniejszej produkcji oraz </w:t>
      </w:r>
      <w:r w:rsidRPr="00AE35C1">
        <w:rPr>
          <w:rFonts w:cs="Arial"/>
          <w:color w:val="000000"/>
          <w:sz w:val="19"/>
          <w:szCs w:val="19"/>
        </w:rPr>
        <w:t>konsumpcji, otworzy nowe możliwości biznesowe oraz innowacyjne.</w:t>
      </w:r>
    </w:p>
    <w:p w:rsidR="000C6BE4" w:rsidRPr="00AE35C1" w:rsidRDefault="000C6BE4" w:rsidP="005F49A2">
      <w:pPr>
        <w:spacing w:before="120" w:after="120" w:line="288" w:lineRule="auto"/>
        <w:jc w:val="both"/>
        <w:rPr>
          <w:rFonts w:cs="Arial"/>
          <w:color w:val="000000"/>
          <w:sz w:val="19"/>
          <w:szCs w:val="19"/>
        </w:rPr>
      </w:pPr>
      <w:r w:rsidRPr="00AE35C1">
        <w:rPr>
          <w:rFonts w:cs="Arial"/>
          <w:color w:val="000000"/>
          <w:sz w:val="19"/>
          <w:szCs w:val="19"/>
        </w:rPr>
        <w:t>W województwie dolnośląskim w 201</w:t>
      </w:r>
      <w:r w:rsidR="00B93F7D" w:rsidRPr="00AE35C1">
        <w:rPr>
          <w:rFonts w:cs="Arial"/>
          <w:color w:val="000000"/>
          <w:sz w:val="19"/>
          <w:szCs w:val="19"/>
        </w:rPr>
        <w:t>5 roku 54,1</w:t>
      </w:r>
      <w:r w:rsidRPr="00AE35C1">
        <w:rPr>
          <w:rFonts w:cs="Arial"/>
          <w:color w:val="000000"/>
          <w:sz w:val="19"/>
          <w:szCs w:val="19"/>
        </w:rPr>
        <w:t xml:space="preserve">% urzędów posiadało własną </w:t>
      </w:r>
      <w:r w:rsidRPr="00AE35C1">
        <w:rPr>
          <w:rFonts w:cs="Arial"/>
          <w:b/>
          <w:color w:val="000000"/>
          <w:sz w:val="19"/>
          <w:szCs w:val="19"/>
        </w:rPr>
        <w:t>stronę internetową</w:t>
      </w:r>
      <w:r w:rsidR="008F5C85" w:rsidRPr="00AE35C1">
        <w:rPr>
          <w:rFonts w:cs="Arial"/>
          <w:color w:val="000000"/>
          <w:sz w:val="19"/>
          <w:szCs w:val="19"/>
        </w:rPr>
        <w:t>, co </w:t>
      </w:r>
      <w:r w:rsidRPr="00AE35C1">
        <w:rPr>
          <w:rFonts w:cs="Arial"/>
          <w:color w:val="000000"/>
          <w:sz w:val="19"/>
          <w:szCs w:val="19"/>
        </w:rPr>
        <w:t xml:space="preserve">plasowało województwo </w:t>
      </w:r>
      <w:r w:rsidR="00B93F7D" w:rsidRPr="00AE35C1">
        <w:rPr>
          <w:rFonts w:cs="Arial"/>
          <w:color w:val="000000"/>
          <w:sz w:val="19"/>
          <w:szCs w:val="19"/>
        </w:rPr>
        <w:t xml:space="preserve">nieznacznie </w:t>
      </w:r>
      <w:r w:rsidRPr="00AE35C1">
        <w:rPr>
          <w:rFonts w:cs="Arial"/>
          <w:color w:val="000000"/>
          <w:sz w:val="19"/>
          <w:szCs w:val="19"/>
        </w:rPr>
        <w:t xml:space="preserve">poniżej średniej dla Polski wynoszącej </w:t>
      </w:r>
      <w:r w:rsidR="00B93F7D" w:rsidRPr="00AE35C1">
        <w:rPr>
          <w:rFonts w:cs="Arial"/>
          <w:color w:val="000000"/>
          <w:sz w:val="19"/>
          <w:szCs w:val="19"/>
        </w:rPr>
        <w:t>54,5</w:t>
      </w:r>
      <w:r w:rsidRPr="00AE35C1">
        <w:rPr>
          <w:rFonts w:cs="Arial"/>
          <w:color w:val="000000"/>
          <w:sz w:val="19"/>
          <w:szCs w:val="19"/>
        </w:rPr>
        <w:t xml:space="preserve">%. </w:t>
      </w:r>
      <w:r w:rsidR="00B93F7D" w:rsidRPr="00AE35C1">
        <w:rPr>
          <w:rFonts w:cs="Arial"/>
          <w:color w:val="000000"/>
          <w:sz w:val="19"/>
          <w:szCs w:val="19"/>
        </w:rPr>
        <w:t xml:space="preserve">Niższy </w:t>
      </w:r>
      <w:r w:rsidRPr="00AE35C1">
        <w:rPr>
          <w:rFonts w:cs="Arial"/>
          <w:color w:val="000000"/>
          <w:sz w:val="19"/>
          <w:szCs w:val="19"/>
        </w:rPr>
        <w:t xml:space="preserve">był </w:t>
      </w:r>
      <w:r w:rsidR="00B93F7D" w:rsidRPr="00AE35C1">
        <w:rPr>
          <w:rFonts w:cs="Arial"/>
          <w:color w:val="000000"/>
          <w:sz w:val="19"/>
          <w:szCs w:val="19"/>
        </w:rPr>
        <w:t xml:space="preserve">również </w:t>
      </w:r>
      <w:r w:rsidRPr="00AE35C1">
        <w:rPr>
          <w:rFonts w:cs="Arial"/>
          <w:color w:val="000000"/>
          <w:sz w:val="19"/>
          <w:szCs w:val="19"/>
        </w:rPr>
        <w:t xml:space="preserve">stopień wykorzystania systemu elektronicznego zarządzania dokumentami </w:t>
      </w:r>
      <w:r w:rsidR="00077126" w:rsidRPr="00AE35C1">
        <w:rPr>
          <w:rFonts w:cs="Arial"/>
          <w:color w:val="000000"/>
          <w:sz w:val="19"/>
          <w:szCs w:val="19"/>
        </w:rPr>
        <w:t>(</w:t>
      </w:r>
      <w:r w:rsidRPr="00AE35C1">
        <w:rPr>
          <w:rFonts w:cs="Arial"/>
          <w:color w:val="000000"/>
          <w:sz w:val="19"/>
          <w:szCs w:val="19"/>
        </w:rPr>
        <w:t>EDZ</w:t>
      </w:r>
      <w:r w:rsidR="00077126" w:rsidRPr="00AE35C1">
        <w:rPr>
          <w:rFonts w:cs="Arial"/>
          <w:color w:val="000000"/>
          <w:sz w:val="19"/>
          <w:szCs w:val="19"/>
        </w:rPr>
        <w:t>)</w:t>
      </w:r>
      <w:r w:rsidR="00D92D62" w:rsidRPr="00AE35C1">
        <w:rPr>
          <w:rFonts w:cs="Arial"/>
          <w:color w:val="000000"/>
          <w:sz w:val="19"/>
          <w:szCs w:val="19"/>
        </w:rPr>
        <w:t>,</w:t>
      </w:r>
      <w:r w:rsidRPr="00AE35C1">
        <w:rPr>
          <w:rFonts w:cs="Arial"/>
          <w:color w:val="000000"/>
          <w:sz w:val="19"/>
          <w:szCs w:val="19"/>
        </w:rPr>
        <w:t xml:space="preserve"> który to dla województwa </w:t>
      </w:r>
      <w:r w:rsidR="00B93F7D" w:rsidRPr="00AE35C1">
        <w:rPr>
          <w:rFonts w:cs="Arial"/>
          <w:color w:val="000000"/>
          <w:sz w:val="19"/>
          <w:szCs w:val="19"/>
        </w:rPr>
        <w:t>dolnośląskiego osiągnął poziom 39,5</w:t>
      </w:r>
      <w:r w:rsidRPr="00AE35C1">
        <w:rPr>
          <w:rFonts w:cs="Arial"/>
          <w:color w:val="000000"/>
          <w:sz w:val="19"/>
          <w:szCs w:val="19"/>
        </w:rPr>
        <w:t>%, prz</w:t>
      </w:r>
      <w:r w:rsidR="00B93F7D" w:rsidRPr="00AE35C1">
        <w:rPr>
          <w:rFonts w:cs="Arial"/>
          <w:color w:val="000000"/>
          <w:sz w:val="19"/>
          <w:szCs w:val="19"/>
        </w:rPr>
        <w:t>y średniej w Polsce wynoszącej 50,4</w:t>
      </w:r>
      <w:r w:rsidRPr="00AE35C1">
        <w:rPr>
          <w:rFonts w:cs="Arial"/>
          <w:color w:val="000000"/>
          <w:sz w:val="19"/>
          <w:szCs w:val="19"/>
        </w:rPr>
        <w:t xml:space="preserve">%. </w:t>
      </w:r>
      <w:r w:rsidR="003729C7" w:rsidRPr="00AE35C1">
        <w:rPr>
          <w:rFonts w:cs="Arial"/>
          <w:color w:val="000000"/>
          <w:sz w:val="19"/>
          <w:szCs w:val="19"/>
        </w:rPr>
        <w:t>W 2014 roku w</w:t>
      </w:r>
      <w:r w:rsidRPr="00AE35C1">
        <w:rPr>
          <w:rFonts w:cs="Arial"/>
          <w:color w:val="000000"/>
          <w:sz w:val="19"/>
          <w:szCs w:val="19"/>
        </w:rPr>
        <w:t>śród urzędów na Dolnym Śląsku jedynie 41,4% udostępniało dane przestrzenne, co na tle Polski plasowało województwo poniżej średniej wynoszącej 47%.</w:t>
      </w:r>
    </w:p>
    <w:p w:rsidR="000C6BE4" w:rsidRPr="00AE35C1" w:rsidRDefault="000C6BE4" w:rsidP="005F49A2">
      <w:pPr>
        <w:pStyle w:val="TEKST"/>
        <w:spacing w:before="60"/>
        <w:rPr>
          <w:sz w:val="19"/>
          <w:szCs w:val="19"/>
        </w:rPr>
      </w:pPr>
      <w:r w:rsidRPr="00AE35C1">
        <w:rPr>
          <w:sz w:val="19"/>
          <w:szCs w:val="19"/>
        </w:rPr>
        <w:t xml:space="preserve">W przedsiębiorstwach prowadzących działalność na Dolnym Śląsku w 2015 roku aż 97,4% wykorzystywało </w:t>
      </w:r>
      <w:r w:rsidRPr="00AE35C1">
        <w:rPr>
          <w:b/>
          <w:sz w:val="19"/>
          <w:szCs w:val="19"/>
        </w:rPr>
        <w:t>komputer</w:t>
      </w:r>
      <w:r w:rsidRPr="00AE35C1">
        <w:rPr>
          <w:sz w:val="19"/>
          <w:szCs w:val="19"/>
        </w:rPr>
        <w:t xml:space="preserve">. Pod tym względem region zajmował 1. miejsce w kraju, przy średniej dla Polski wynoszącej 94%. Podobnie wysoko plasuje się Dolny Śląsk pod względem korzystania przez regionalnych przedsiębiorców z </w:t>
      </w:r>
      <w:r w:rsidRPr="00AE35C1">
        <w:rPr>
          <w:b/>
          <w:sz w:val="19"/>
          <w:szCs w:val="19"/>
        </w:rPr>
        <w:t xml:space="preserve">Internetu. </w:t>
      </w:r>
      <w:r w:rsidRPr="00AE35C1">
        <w:rPr>
          <w:sz w:val="19"/>
          <w:szCs w:val="19"/>
        </w:rPr>
        <w:t>W 2015 roku 95,7% przedsiębiorstw z Dolnego Śląska posługiwało się Internetem i by</w:t>
      </w:r>
      <w:r w:rsidR="00D92D62" w:rsidRPr="00AE35C1">
        <w:rPr>
          <w:sz w:val="19"/>
          <w:szCs w:val="19"/>
        </w:rPr>
        <w:t>ło to najwyższe wykorzystanie w </w:t>
      </w:r>
      <w:r w:rsidRPr="00AE35C1">
        <w:rPr>
          <w:sz w:val="19"/>
          <w:szCs w:val="19"/>
        </w:rPr>
        <w:t>kraju (średnia krajowa wynosiła 92,7%). Odsetek przedsiębiorstw posiadających dostęp do szeroko-pasmowego Intern</w:t>
      </w:r>
      <w:r w:rsidR="00031061" w:rsidRPr="00AE35C1">
        <w:rPr>
          <w:sz w:val="19"/>
          <w:szCs w:val="19"/>
        </w:rPr>
        <w:t>etu wynosił natomiast 95,5%, co </w:t>
      </w:r>
      <w:r w:rsidRPr="00AE35C1">
        <w:rPr>
          <w:sz w:val="19"/>
          <w:szCs w:val="19"/>
        </w:rPr>
        <w:t>również stanowiło najwyższą wartość w Polsce (średnio 91,9%). Inna sytuacja rysowała się natomiast w przypadku pracowników wykorzystujących komputery do pracy oraz komputery podłączone do Internetu. Odsetek pracowników korzystających z komputera do pracy na terenie d</w:t>
      </w:r>
      <w:r w:rsidR="00031061" w:rsidRPr="00AE35C1">
        <w:rPr>
          <w:sz w:val="19"/>
          <w:szCs w:val="19"/>
        </w:rPr>
        <w:t>olnośląskiego wynosił 45,4%, co </w:t>
      </w:r>
      <w:r w:rsidRPr="00AE35C1">
        <w:rPr>
          <w:sz w:val="19"/>
          <w:szCs w:val="19"/>
        </w:rPr>
        <w:t>przekraczało przecięt</w:t>
      </w:r>
      <w:r w:rsidR="00031061" w:rsidRPr="00AE35C1">
        <w:rPr>
          <w:sz w:val="19"/>
          <w:szCs w:val="19"/>
        </w:rPr>
        <w:t>ną wartość w Polsce (43,3%). Na </w:t>
      </w:r>
      <w:r w:rsidRPr="00AE35C1">
        <w:rPr>
          <w:sz w:val="19"/>
          <w:szCs w:val="19"/>
        </w:rPr>
        <w:t xml:space="preserve">Dolnym Śląsku relatywnie mniej pracowników, niż średnio w Polsce, wykorzystywało jednak komputer z dostępem do Internetu – odpowiednio 38,2% i 37,3%. Przedsiębiorcy z Dolnego Śląska w 2014 roku często </w:t>
      </w:r>
      <w:r w:rsidRPr="00AE35C1">
        <w:rPr>
          <w:sz w:val="19"/>
          <w:szCs w:val="19"/>
        </w:rPr>
        <w:lastRenderedPageBreak/>
        <w:t>korzystali z e-administracji jako formy kontaktu z organami administracyjnymi. Wskaźnik ten wyniósł 92,7%, co pozwoliło zająć regionowi 1. miejsce w Polsce (przy średniej na poziomie 92,4%). W 2015 roku odsetek dolnośląskich gospodarstw posiadających komputer wyniósł 77,3%, co plasuje Dolny Śląsk nieco poniżej średniej krajowej (77,9%). Z kole</w:t>
      </w:r>
      <w:r w:rsidR="0008736D" w:rsidRPr="00AE35C1">
        <w:rPr>
          <w:sz w:val="19"/>
          <w:szCs w:val="19"/>
        </w:rPr>
        <w:t xml:space="preserve">i odsetek osób korzystających z </w:t>
      </w:r>
      <w:r w:rsidRPr="00AE35C1">
        <w:rPr>
          <w:sz w:val="19"/>
          <w:szCs w:val="19"/>
        </w:rPr>
        <w:t>komputera wynosił 76,2% (średnio w Polsce - 73,7%).</w:t>
      </w:r>
    </w:p>
    <w:p w:rsidR="004C717D" w:rsidRPr="00AE35C1" w:rsidRDefault="000C6BE4" w:rsidP="004C717D">
      <w:pPr>
        <w:spacing w:before="120" w:after="120" w:line="288" w:lineRule="auto"/>
        <w:jc w:val="both"/>
        <w:rPr>
          <w:rFonts w:cs="Calibri"/>
          <w:color w:val="000000"/>
          <w:sz w:val="19"/>
          <w:szCs w:val="19"/>
        </w:rPr>
      </w:pPr>
      <w:r w:rsidRPr="00AE35C1">
        <w:rPr>
          <w:rFonts w:cs="Calibri"/>
          <w:color w:val="000000"/>
          <w:sz w:val="19"/>
          <w:szCs w:val="19"/>
        </w:rPr>
        <w:lastRenderedPageBreak/>
        <w:t xml:space="preserve">Liczba samorządowych </w:t>
      </w:r>
      <w:r w:rsidRPr="00AE35C1">
        <w:rPr>
          <w:rFonts w:cs="Calibri"/>
          <w:b/>
          <w:color w:val="000000"/>
          <w:sz w:val="19"/>
          <w:szCs w:val="19"/>
        </w:rPr>
        <w:t>hot spotów</w:t>
      </w:r>
      <w:r w:rsidRPr="00AE35C1">
        <w:rPr>
          <w:rFonts w:cs="Calibri"/>
          <w:color w:val="000000"/>
          <w:sz w:val="19"/>
          <w:szCs w:val="19"/>
        </w:rPr>
        <w:t xml:space="preserve"> na Dolnym Śląsku wyniosła w 2015 roku 334. W samym tylko Wrocławiu ich liczba wynosiła 278, co oznacza że w</w:t>
      </w:r>
      <w:r w:rsidR="00D92D62" w:rsidRPr="00AE35C1">
        <w:rPr>
          <w:rFonts w:cs="Calibri"/>
          <w:color w:val="000000"/>
          <w:sz w:val="19"/>
          <w:szCs w:val="19"/>
        </w:rPr>
        <w:t> </w:t>
      </w:r>
      <w:r w:rsidRPr="00AE35C1">
        <w:rPr>
          <w:rFonts w:cs="Calibri"/>
          <w:color w:val="000000"/>
          <w:sz w:val="19"/>
          <w:szCs w:val="19"/>
        </w:rPr>
        <w:t>pozostałej części regionu znalazło się zaledwie 58 tego typu urządzeń. W 2015 r</w:t>
      </w:r>
      <w:r w:rsidR="00031061" w:rsidRPr="00AE35C1">
        <w:rPr>
          <w:rFonts w:cs="Calibri"/>
          <w:color w:val="000000"/>
          <w:sz w:val="19"/>
          <w:szCs w:val="19"/>
        </w:rPr>
        <w:t>oku zadeklarowało korzystanie z </w:t>
      </w:r>
      <w:r w:rsidRPr="00AE35C1">
        <w:rPr>
          <w:rFonts w:cs="Calibri"/>
          <w:color w:val="000000"/>
          <w:sz w:val="19"/>
          <w:szCs w:val="19"/>
        </w:rPr>
        <w:t>usług administracji publicznej w ciągu ostatnich 12</w:t>
      </w:r>
      <w:r w:rsidR="00D92D62" w:rsidRPr="00AE35C1">
        <w:rPr>
          <w:rFonts w:cs="Calibri"/>
          <w:color w:val="000000"/>
          <w:sz w:val="19"/>
          <w:szCs w:val="19"/>
        </w:rPr>
        <w:t> </w:t>
      </w:r>
      <w:r w:rsidRPr="00AE35C1">
        <w:rPr>
          <w:rFonts w:cs="Calibri"/>
          <w:color w:val="000000"/>
          <w:sz w:val="19"/>
          <w:szCs w:val="19"/>
        </w:rPr>
        <w:t>miesięcy 27% mieszkańców Dolnego Śląska. Oznacza to, że ta forma kontaktu jest w regionie częściej wykorzystywana</w:t>
      </w:r>
      <w:r w:rsidR="004C717D" w:rsidRPr="00AE35C1">
        <w:rPr>
          <w:rFonts w:cs="Calibri"/>
          <w:color w:val="000000"/>
          <w:sz w:val="19"/>
          <w:szCs w:val="19"/>
        </w:rPr>
        <w:t xml:space="preserve"> niż przeciętnie w kraju (20%).</w:t>
      </w:r>
    </w:p>
    <w:p w:rsidR="00031061" w:rsidRPr="00AE35C1" w:rsidRDefault="00031061" w:rsidP="004C717D">
      <w:pPr>
        <w:spacing w:before="120" w:after="120" w:line="288" w:lineRule="auto"/>
        <w:jc w:val="both"/>
        <w:rPr>
          <w:rFonts w:cs="Calibri"/>
          <w:color w:val="000000"/>
          <w:sz w:val="19"/>
          <w:szCs w:val="19"/>
        </w:rPr>
      </w:pPr>
    </w:p>
    <w:p w:rsidR="00031061" w:rsidRPr="00AE35C1" w:rsidRDefault="00031061" w:rsidP="004C717D">
      <w:pPr>
        <w:spacing w:before="120" w:after="120" w:line="288" w:lineRule="auto"/>
        <w:jc w:val="both"/>
        <w:rPr>
          <w:rFonts w:cs="Calibri"/>
          <w:color w:val="000000"/>
          <w:sz w:val="19"/>
          <w:szCs w:val="19"/>
        </w:rPr>
        <w:sectPr w:rsidR="00031061" w:rsidRPr="00AE35C1" w:rsidSect="00E73C96">
          <w:type w:val="continuous"/>
          <w:pgSz w:w="11906" w:h="16838"/>
          <w:pgMar w:top="1276" w:right="1276" w:bottom="1417" w:left="1417" w:header="708" w:footer="708" w:gutter="0"/>
          <w:cols w:num="2" w:space="454"/>
          <w:titlePg/>
          <w:docGrid w:linePitch="360"/>
        </w:sectPr>
      </w:pPr>
    </w:p>
    <w:p w:rsidR="00CA4756" w:rsidRPr="006B79DC" w:rsidRDefault="00CA4756" w:rsidP="00B00765">
      <w:pPr>
        <w:spacing w:after="0"/>
        <w:rPr>
          <w:sz w:val="12"/>
          <w:szCs w:val="12"/>
          <w:lang w:eastAsia="pl-PL"/>
        </w:rPr>
      </w:pPr>
    </w:p>
    <w:p w:rsidR="006B79DC" w:rsidRPr="006B79DC" w:rsidRDefault="006B79DC" w:rsidP="00B00765">
      <w:pPr>
        <w:spacing w:after="0"/>
        <w:rPr>
          <w:sz w:val="2"/>
          <w:szCs w:val="2"/>
          <w:lang w:eastAsia="pl-PL"/>
        </w:rPr>
      </w:pPr>
    </w:p>
    <w:tbl>
      <w:tblPr>
        <w:tblW w:w="9214" w:type="dxa"/>
        <w:tblBorders>
          <w:insideH w:val="single" w:sz="18" w:space="0" w:color="FFFFFF"/>
          <w:insideV w:val="single" w:sz="18" w:space="0" w:color="FFFFFF"/>
        </w:tblBorders>
        <w:shd w:val="clear" w:color="auto" w:fill="F2F2F2"/>
        <w:tblLook w:val="04A0"/>
      </w:tblPr>
      <w:tblGrid>
        <w:gridCol w:w="4678"/>
        <w:gridCol w:w="4536"/>
      </w:tblGrid>
      <w:tr w:rsidR="006B79DC" w:rsidRPr="00AE35C1" w:rsidTr="006B79DC">
        <w:trPr>
          <w:trHeight w:val="20"/>
          <w:tblHeader/>
        </w:trPr>
        <w:tc>
          <w:tcPr>
            <w:tcW w:w="4678" w:type="dxa"/>
            <w:shd w:val="clear" w:color="auto" w:fill="F2F2F2"/>
          </w:tcPr>
          <w:p w:rsidR="006B79DC" w:rsidRPr="00AE35C1" w:rsidRDefault="006B79DC" w:rsidP="006B79DC">
            <w:pPr>
              <w:spacing w:before="60" w:after="0" w:line="288" w:lineRule="auto"/>
              <w:jc w:val="center"/>
              <w:rPr>
                <w:b/>
                <w:caps/>
                <w:color w:val="000000"/>
                <w:sz w:val="18"/>
                <w:szCs w:val="18"/>
              </w:rPr>
            </w:pPr>
            <w:r w:rsidRPr="00AE35C1">
              <w:rPr>
                <w:b/>
                <w:color w:val="000000"/>
                <w:sz w:val="18"/>
                <w:szCs w:val="18"/>
              </w:rPr>
              <w:t>MOCNE STRONY</w:t>
            </w:r>
          </w:p>
        </w:tc>
        <w:tc>
          <w:tcPr>
            <w:tcW w:w="4536" w:type="dxa"/>
            <w:shd w:val="clear" w:color="auto" w:fill="F2F2F2"/>
          </w:tcPr>
          <w:p w:rsidR="006B79DC" w:rsidRPr="00AE35C1" w:rsidRDefault="006B79DC" w:rsidP="006B79DC">
            <w:pPr>
              <w:spacing w:before="60" w:after="0" w:line="288" w:lineRule="auto"/>
              <w:jc w:val="center"/>
              <w:rPr>
                <w:b/>
                <w:caps/>
                <w:color w:val="000000"/>
                <w:sz w:val="18"/>
                <w:szCs w:val="18"/>
              </w:rPr>
            </w:pPr>
            <w:r w:rsidRPr="00AE35C1">
              <w:rPr>
                <w:b/>
                <w:color w:val="000000"/>
                <w:sz w:val="18"/>
                <w:szCs w:val="18"/>
              </w:rPr>
              <w:t>SŁABE STRONY</w:t>
            </w:r>
          </w:p>
        </w:tc>
      </w:tr>
      <w:tr w:rsidR="006B79DC" w:rsidRPr="00AE35C1" w:rsidTr="006B79DC">
        <w:trPr>
          <w:trHeight w:val="20"/>
        </w:trPr>
        <w:tc>
          <w:tcPr>
            <w:tcW w:w="4678" w:type="dxa"/>
            <w:shd w:val="clear" w:color="auto" w:fill="F2F2F2"/>
          </w:tcPr>
          <w:p w:rsidR="006B79DC" w:rsidRPr="00AE35C1" w:rsidRDefault="006B79DC" w:rsidP="006B79DC">
            <w:pPr>
              <w:pStyle w:val="Akapitzlist"/>
              <w:numPr>
                <w:ilvl w:val="0"/>
                <w:numId w:val="42"/>
              </w:numPr>
              <w:spacing w:after="0" w:line="288" w:lineRule="auto"/>
              <w:ind w:left="176" w:hanging="176"/>
              <w:jc w:val="both"/>
              <w:rPr>
                <w:color w:val="000000"/>
                <w:sz w:val="17"/>
                <w:szCs w:val="17"/>
              </w:rPr>
            </w:pPr>
            <w:r w:rsidRPr="00AE35C1">
              <w:rPr>
                <w:color w:val="000000"/>
                <w:sz w:val="17"/>
                <w:szCs w:val="17"/>
              </w:rPr>
              <w:t>wyższa od średniej dla województw w kraju: produkcja energii elektrycznej, liczba odbiorców energii elektrycznej oraz zużycie energii elektrycznej ogółem na 1 mieszkańca,</w:t>
            </w:r>
          </w:p>
          <w:p w:rsidR="006B79DC" w:rsidRPr="00AE35C1" w:rsidRDefault="006B79DC" w:rsidP="006B79DC">
            <w:pPr>
              <w:pStyle w:val="Akapitzlist"/>
              <w:numPr>
                <w:ilvl w:val="0"/>
                <w:numId w:val="42"/>
              </w:numPr>
              <w:spacing w:after="0" w:line="288" w:lineRule="auto"/>
              <w:ind w:left="176" w:hanging="176"/>
              <w:jc w:val="both"/>
              <w:rPr>
                <w:color w:val="000000"/>
                <w:sz w:val="17"/>
                <w:szCs w:val="17"/>
              </w:rPr>
            </w:pPr>
            <w:r w:rsidRPr="00AE35C1">
              <w:rPr>
                <w:color w:val="000000"/>
                <w:sz w:val="17"/>
                <w:szCs w:val="17"/>
              </w:rPr>
              <w:t>sukcesywnie wzrastająca ilość energii produkowanej w instalacjach wykorzystujących odnawialne źródła energii,</w:t>
            </w:r>
          </w:p>
          <w:p w:rsidR="006B79DC" w:rsidRPr="00AE35C1" w:rsidRDefault="006B79DC" w:rsidP="006B79DC">
            <w:pPr>
              <w:pStyle w:val="Akapitzlist"/>
              <w:numPr>
                <w:ilvl w:val="0"/>
                <w:numId w:val="42"/>
              </w:numPr>
              <w:spacing w:after="0" w:line="288" w:lineRule="auto"/>
              <w:ind w:left="176" w:hanging="176"/>
              <w:jc w:val="both"/>
              <w:rPr>
                <w:color w:val="000000"/>
                <w:sz w:val="17"/>
                <w:szCs w:val="17"/>
              </w:rPr>
            </w:pPr>
            <w:r w:rsidRPr="00AE35C1">
              <w:rPr>
                <w:color w:val="000000"/>
                <w:sz w:val="17"/>
                <w:szCs w:val="17"/>
              </w:rPr>
              <w:t>wzrastająca długość sieci gazowej oraz sieci cieplnej przesyłowej i przyłączy do budynków,</w:t>
            </w:r>
          </w:p>
          <w:p w:rsidR="006B79DC" w:rsidRPr="00AE35C1" w:rsidRDefault="006B79DC" w:rsidP="006B79DC">
            <w:pPr>
              <w:pStyle w:val="Akapitzlist"/>
              <w:numPr>
                <w:ilvl w:val="0"/>
                <w:numId w:val="42"/>
              </w:numPr>
              <w:spacing w:after="0" w:line="288" w:lineRule="auto"/>
              <w:ind w:left="176" w:hanging="176"/>
              <w:jc w:val="both"/>
              <w:rPr>
                <w:color w:val="000000"/>
                <w:sz w:val="17"/>
                <w:szCs w:val="17"/>
              </w:rPr>
            </w:pPr>
            <w:r w:rsidRPr="00AE35C1">
              <w:rPr>
                <w:rFonts w:eastAsia="Times New Roman"/>
                <w:color w:val="000000"/>
                <w:sz w:val="17"/>
                <w:szCs w:val="17"/>
              </w:rPr>
              <w:t>postępujący rozwój sieci wodociągowej i kanalizacyjnej oraz znaczny przyrost ludności korzystającej z infrastruktury wodno-kanalizacyjnej,</w:t>
            </w:r>
          </w:p>
          <w:p w:rsidR="006B79DC" w:rsidRPr="00AE35C1" w:rsidRDefault="006B79DC" w:rsidP="006B79DC">
            <w:pPr>
              <w:pStyle w:val="Akapitzlist"/>
              <w:numPr>
                <w:ilvl w:val="0"/>
                <w:numId w:val="42"/>
              </w:numPr>
              <w:spacing w:after="0" w:line="288" w:lineRule="auto"/>
              <w:ind w:left="176" w:hanging="176"/>
              <w:jc w:val="both"/>
              <w:rPr>
                <w:color w:val="000000"/>
                <w:sz w:val="17"/>
                <w:szCs w:val="17"/>
              </w:rPr>
            </w:pPr>
            <w:r w:rsidRPr="00AE35C1">
              <w:rPr>
                <w:rFonts w:eastAsia="Times New Roman"/>
                <w:color w:val="000000"/>
                <w:sz w:val="17"/>
                <w:szCs w:val="17"/>
              </w:rPr>
              <w:t>spadek zużycia wody na 1 mieszkańca,</w:t>
            </w:r>
          </w:p>
          <w:p w:rsidR="006B79DC" w:rsidRPr="00AE35C1" w:rsidRDefault="006B79DC" w:rsidP="006B79DC">
            <w:pPr>
              <w:pStyle w:val="Akapitzlist"/>
              <w:numPr>
                <w:ilvl w:val="0"/>
                <w:numId w:val="42"/>
              </w:numPr>
              <w:spacing w:after="0" w:line="288" w:lineRule="auto"/>
              <w:ind w:left="176" w:hanging="176"/>
              <w:jc w:val="both"/>
              <w:rPr>
                <w:color w:val="000000"/>
                <w:sz w:val="17"/>
                <w:szCs w:val="17"/>
              </w:rPr>
            </w:pPr>
            <w:r w:rsidRPr="00AE35C1">
              <w:rPr>
                <w:color w:val="000000"/>
                <w:sz w:val="17"/>
                <w:szCs w:val="17"/>
              </w:rPr>
              <w:t xml:space="preserve">spadek ilości zmieszanych odpadów zebranych w ciągu roku </w:t>
            </w:r>
            <w:r w:rsidRPr="00AE35C1">
              <w:rPr>
                <w:color w:val="000000"/>
                <w:sz w:val="17"/>
                <w:szCs w:val="17"/>
              </w:rPr>
              <w:br/>
              <w:t>i wzrost udziału odpadów zebranych selektywnie w stosunku do ogółu odpadów,</w:t>
            </w:r>
          </w:p>
          <w:p w:rsidR="006B79DC" w:rsidRPr="00AE35C1" w:rsidRDefault="006B79DC" w:rsidP="006B79DC">
            <w:pPr>
              <w:pStyle w:val="Akapitzlist"/>
              <w:numPr>
                <w:ilvl w:val="0"/>
                <w:numId w:val="42"/>
              </w:numPr>
              <w:spacing w:after="0" w:line="288" w:lineRule="auto"/>
              <w:ind w:left="176" w:hanging="176"/>
              <w:jc w:val="both"/>
              <w:rPr>
                <w:color w:val="000000"/>
                <w:sz w:val="17"/>
                <w:szCs w:val="17"/>
              </w:rPr>
            </w:pPr>
            <w:r w:rsidRPr="00AE35C1">
              <w:rPr>
                <w:color w:val="000000"/>
                <w:sz w:val="17"/>
                <w:szCs w:val="17"/>
              </w:rPr>
              <w:t>prowadzone inwestycje przeciwpowodziowe, w tym modernizacja Wrocławskiego Węzła Wodnego,</w:t>
            </w:r>
          </w:p>
          <w:p w:rsidR="006B79DC" w:rsidRPr="00AE35C1" w:rsidRDefault="006B79DC" w:rsidP="006B79DC">
            <w:pPr>
              <w:pStyle w:val="Akapitzlist"/>
              <w:numPr>
                <w:ilvl w:val="0"/>
                <w:numId w:val="42"/>
              </w:numPr>
              <w:spacing w:after="0" w:line="288" w:lineRule="auto"/>
              <w:ind w:left="176" w:hanging="176"/>
              <w:jc w:val="both"/>
              <w:rPr>
                <w:color w:val="000000"/>
                <w:sz w:val="17"/>
                <w:szCs w:val="17"/>
              </w:rPr>
            </w:pPr>
            <w:r w:rsidRPr="00AE35C1">
              <w:rPr>
                <w:color w:val="000000"/>
                <w:sz w:val="17"/>
                <w:szCs w:val="17"/>
              </w:rPr>
              <w:t>wysoki wskaźnik wykorzystania e-administracji jako formy kontaktu z organami administracyjnymi przez przedsiębiorców i mieszkańców,</w:t>
            </w:r>
          </w:p>
          <w:p w:rsidR="006B79DC" w:rsidRPr="00AE35C1" w:rsidRDefault="006B79DC" w:rsidP="006B79DC">
            <w:pPr>
              <w:pStyle w:val="Akapitzlist"/>
              <w:numPr>
                <w:ilvl w:val="0"/>
                <w:numId w:val="42"/>
              </w:numPr>
              <w:spacing w:after="60" w:line="288" w:lineRule="auto"/>
              <w:ind w:left="176" w:hanging="176"/>
              <w:jc w:val="both"/>
              <w:rPr>
                <w:color w:val="000000"/>
                <w:sz w:val="17"/>
                <w:szCs w:val="17"/>
              </w:rPr>
            </w:pPr>
            <w:r w:rsidRPr="00AE35C1">
              <w:rPr>
                <w:color w:val="000000"/>
                <w:sz w:val="17"/>
                <w:szCs w:val="17"/>
              </w:rPr>
              <w:t>najwyższe w kraju wykorzystanie Internetu w przedsiębiorstwach oraz odsetek przedsiębiorstw posiadających szerokopasmowy dostęp do Internetu.</w:t>
            </w:r>
          </w:p>
        </w:tc>
        <w:tc>
          <w:tcPr>
            <w:tcW w:w="4536" w:type="dxa"/>
            <w:shd w:val="clear" w:color="auto" w:fill="F2F2F2"/>
          </w:tcPr>
          <w:p w:rsidR="006B79DC" w:rsidRPr="00AE35C1" w:rsidRDefault="006B79DC" w:rsidP="006B79DC">
            <w:pPr>
              <w:pStyle w:val="Akapitzlist"/>
              <w:numPr>
                <w:ilvl w:val="0"/>
                <w:numId w:val="16"/>
              </w:numPr>
              <w:spacing w:after="0" w:line="288" w:lineRule="auto"/>
              <w:ind w:left="317" w:hanging="283"/>
              <w:jc w:val="both"/>
              <w:rPr>
                <w:color w:val="000000"/>
                <w:sz w:val="17"/>
                <w:szCs w:val="17"/>
              </w:rPr>
            </w:pPr>
            <w:r w:rsidRPr="00AE35C1">
              <w:rPr>
                <w:color w:val="000000"/>
                <w:sz w:val="17"/>
                <w:szCs w:val="17"/>
              </w:rPr>
              <w:t>utrzymujący się niski udział energii odnawialnej w produkcji energii elektrycznej ogółem w stosunku do innych województw,</w:t>
            </w:r>
          </w:p>
          <w:p w:rsidR="006B79DC" w:rsidRPr="00AE35C1" w:rsidRDefault="006B79DC" w:rsidP="006B79DC">
            <w:pPr>
              <w:pStyle w:val="Akapitzlist"/>
              <w:numPr>
                <w:ilvl w:val="0"/>
                <w:numId w:val="16"/>
              </w:numPr>
              <w:spacing w:after="0" w:line="288" w:lineRule="auto"/>
              <w:ind w:left="317" w:hanging="283"/>
              <w:jc w:val="both"/>
              <w:rPr>
                <w:color w:val="000000"/>
                <w:sz w:val="17"/>
                <w:szCs w:val="17"/>
              </w:rPr>
            </w:pPr>
            <w:r w:rsidRPr="00AE35C1">
              <w:rPr>
                <w:color w:val="000000"/>
                <w:sz w:val="17"/>
                <w:szCs w:val="17"/>
              </w:rPr>
              <w:t>utrzymująca się dysproporcja pomiędzy liczbą mieszkańców korzystających z gazu doprowadzanego sieciowo w miastach i obszarach wiejskich,</w:t>
            </w:r>
          </w:p>
          <w:p w:rsidR="006B79DC" w:rsidRPr="00AE35C1" w:rsidRDefault="006B79DC" w:rsidP="006B79DC">
            <w:pPr>
              <w:pStyle w:val="Akapitzlist"/>
              <w:numPr>
                <w:ilvl w:val="0"/>
                <w:numId w:val="16"/>
              </w:numPr>
              <w:spacing w:after="0" w:line="288" w:lineRule="auto"/>
              <w:ind w:left="317" w:hanging="283"/>
              <w:jc w:val="both"/>
              <w:rPr>
                <w:color w:val="000000"/>
                <w:sz w:val="17"/>
                <w:szCs w:val="17"/>
              </w:rPr>
            </w:pPr>
            <w:r w:rsidRPr="00AE35C1">
              <w:rPr>
                <w:color w:val="000000"/>
                <w:sz w:val="17"/>
                <w:szCs w:val="17"/>
              </w:rPr>
              <w:t>zmniejszający się odsetek mieszkańców korzystających z gazu doprowadzanego sieciowo,</w:t>
            </w:r>
          </w:p>
          <w:p w:rsidR="006B79DC" w:rsidRPr="00AE35C1" w:rsidRDefault="006B79DC" w:rsidP="006B79DC">
            <w:pPr>
              <w:pStyle w:val="Akapitzlist"/>
              <w:numPr>
                <w:ilvl w:val="0"/>
                <w:numId w:val="16"/>
              </w:numPr>
              <w:spacing w:after="0" w:line="288" w:lineRule="auto"/>
              <w:ind w:left="317" w:hanging="283"/>
              <w:jc w:val="both"/>
              <w:rPr>
                <w:color w:val="000000"/>
                <w:sz w:val="17"/>
                <w:szCs w:val="17"/>
              </w:rPr>
            </w:pPr>
            <w:r w:rsidRPr="00AE35C1">
              <w:rPr>
                <w:color w:val="000000"/>
                <w:sz w:val="17"/>
                <w:szCs w:val="17"/>
              </w:rPr>
              <w:t>utrzymujący się niski stopień wyposażenia w sieć wodociągową terenów wiejskich położonych na terenach podgórskich i górskich,</w:t>
            </w:r>
          </w:p>
          <w:p w:rsidR="006B79DC" w:rsidRPr="00AE35C1" w:rsidRDefault="006B79DC" w:rsidP="006B79DC">
            <w:pPr>
              <w:pStyle w:val="Akapitzlist"/>
              <w:numPr>
                <w:ilvl w:val="0"/>
                <w:numId w:val="16"/>
              </w:numPr>
              <w:spacing w:after="0" w:line="288" w:lineRule="auto"/>
              <w:ind w:left="317" w:hanging="283"/>
              <w:jc w:val="both"/>
              <w:rPr>
                <w:color w:val="000000"/>
                <w:sz w:val="17"/>
                <w:szCs w:val="17"/>
              </w:rPr>
            </w:pPr>
            <w:r w:rsidRPr="00AE35C1">
              <w:rPr>
                <w:color w:val="000000"/>
                <w:sz w:val="17"/>
                <w:szCs w:val="17"/>
              </w:rPr>
              <w:t>znaczne dysproporcje pod względem dostępu mieszkań do centralnego ogrzewania i gazu sieciowego na terenach miejskich i wiejskich,</w:t>
            </w:r>
          </w:p>
          <w:p w:rsidR="006B79DC" w:rsidRPr="00AE35C1" w:rsidRDefault="006B79DC" w:rsidP="006B79DC">
            <w:pPr>
              <w:pStyle w:val="Akapitzlist"/>
              <w:numPr>
                <w:ilvl w:val="0"/>
                <w:numId w:val="16"/>
              </w:numPr>
              <w:spacing w:after="0" w:line="288" w:lineRule="auto"/>
              <w:ind w:left="317" w:hanging="283"/>
              <w:jc w:val="both"/>
              <w:rPr>
                <w:color w:val="000000"/>
                <w:sz w:val="17"/>
                <w:szCs w:val="17"/>
              </w:rPr>
            </w:pPr>
            <w:r w:rsidRPr="00AE35C1">
              <w:rPr>
                <w:color w:val="000000"/>
                <w:sz w:val="17"/>
                <w:szCs w:val="17"/>
              </w:rPr>
              <w:t>utrzymująca się znacząca różnica odsetka ludności korzystającej z sieci kanalizacyjnej w miastach i na terenach wiejskich,</w:t>
            </w:r>
          </w:p>
          <w:p w:rsidR="006B79DC" w:rsidRPr="00AE35C1" w:rsidRDefault="006B79DC" w:rsidP="006B79DC">
            <w:pPr>
              <w:pStyle w:val="Akapitzlist"/>
              <w:numPr>
                <w:ilvl w:val="0"/>
                <w:numId w:val="16"/>
              </w:numPr>
              <w:spacing w:after="0" w:line="288" w:lineRule="auto"/>
              <w:ind w:left="317" w:hanging="283"/>
              <w:jc w:val="both"/>
              <w:rPr>
                <w:color w:val="000000"/>
                <w:sz w:val="17"/>
                <w:szCs w:val="17"/>
              </w:rPr>
            </w:pPr>
            <w:r w:rsidRPr="00AE35C1">
              <w:rPr>
                <w:color w:val="000000"/>
                <w:sz w:val="17"/>
                <w:szCs w:val="17"/>
              </w:rPr>
              <w:t>duże zagrożenie powodziowe ze względu na uwarunkowania naturalne, niewystarczający system ochrony przeciwpowodziowej,</w:t>
            </w:r>
          </w:p>
          <w:p w:rsidR="006B79DC" w:rsidRPr="00AE35C1" w:rsidRDefault="006B79DC" w:rsidP="006B79DC">
            <w:pPr>
              <w:pStyle w:val="Akapitzlist"/>
              <w:numPr>
                <w:ilvl w:val="0"/>
                <w:numId w:val="16"/>
              </w:numPr>
              <w:spacing w:after="0" w:line="288" w:lineRule="auto"/>
              <w:ind w:left="317" w:hanging="283"/>
              <w:jc w:val="both"/>
              <w:rPr>
                <w:color w:val="000000"/>
                <w:sz w:val="17"/>
                <w:szCs w:val="17"/>
              </w:rPr>
            </w:pPr>
            <w:r w:rsidRPr="00AE35C1">
              <w:rPr>
                <w:color w:val="000000"/>
                <w:sz w:val="17"/>
                <w:szCs w:val="17"/>
              </w:rPr>
              <w:t>konflikty przestrzenne i środowiskowe związane z: presją inwestycyjną na obszary zalewowe oraz realizacją inwestycji infrastrukturalnych na terenach cennych przyrodniczo lub w ich sąsiedztwie.</w:t>
            </w:r>
          </w:p>
        </w:tc>
      </w:tr>
    </w:tbl>
    <w:p w:rsidR="006B79DC" w:rsidRPr="00AE35C1" w:rsidRDefault="006B79DC" w:rsidP="00B00765">
      <w:pPr>
        <w:spacing w:after="0"/>
        <w:rPr>
          <w:lang w:eastAsia="pl-PL"/>
        </w:rPr>
        <w:sectPr w:rsidR="006B79DC" w:rsidRPr="00AE35C1" w:rsidSect="00E73C96">
          <w:headerReference w:type="first" r:id="rId69"/>
          <w:footerReference w:type="first" r:id="rId70"/>
          <w:type w:val="continuous"/>
          <w:pgSz w:w="11906" w:h="16838"/>
          <w:pgMar w:top="1571" w:right="1276" w:bottom="1417" w:left="1417" w:header="708" w:footer="708" w:gutter="0"/>
          <w:cols w:space="454"/>
          <w:titlePg/>
          <w:docGrid w:linePitch="360"/>
        </w:sectPr>
      </w:pPr>
    </w:p>
    <w:p w:rsidR="000C6BE4" w:rsidRPr="00AE35C1" w:rsidRDefault="000C6BE4" w:rsidP="00770CED">
      <w:pPr>
        <w:pStyle w:val="Nagwek2"/>
        <w:numPr>
          <w:ilvl w:val="1"/>
          <w:numId w:val="59"/>
        </w:numPr>
        <w:ind w:left="567" w:hanging="567"/>
      </w:pPr>
      <w:bookmarkStart w:id="49" w:name="_Toc499582777"/>
      <w:bookmarkStart w:id="50" w:name="_Toc511716318"/>
      <w:r w:rsidRPr="00AE35C1">
        <w:lastRenderedPageBreak/>
        <w:t>SYSTEM KOMUNIKACJI I DOSTĘPNOŚĆ TRANSPORTOWA</w:t>
      </w:r>
      <w:bookmarkEnd w:id="49"/>
      <w:bookmarkEnd w:id="50"/>
    </w:p>
    <w:p w:rsidR="000C6BE4" w:rsidRPr="00AE35C1" w:rsidRDefault="000C6BE4" w:rsidP="00D41A4A">
      <w:pPr>
        <w:pStyle w:val="Nagwek2"/>
        <w:sectPr w:rsidR="000C6BE4" w:rsidRPr="00AE35C1" w:rsidSect="00E73C96">
          <w:type w:val="continuous"/>
          <w:pgSz w:w="11906" w:h="16838"/>
          <w:pgMar w:top="1276" w:right="1276" w:bottom="1417" w:left="1417" w:header="708" w:footer="708" w:gutter="0"/>
          <w:cols w:space="708"/>
          <w:titlePg/>
          <w:docGrid w:linePitch="360"/>
        </w:sectPr>
      </w:pPr>
    </w:p>
    <w:p w:rsidR="000C6BE4" w:rsidRPr="00AE35C1" w:rsidRDefault="000C6BE4" w:rsidP="005F49A2">
      <w:pPr>
        <w:pStyle w:val="TEKST"/>
        <w:spacing w:after="0"/>
        <w:rPr>
          <w:sz w:val="19"/>
          <w:szCs w:val="19"/>
        </w:rPr>
      </w:pPr>
      <w:r w:rsidRPr="00AE35C1">
        <w:rPr>
          <w:sz w:val="19"/>
          <w:szCs w:val="19"/>
        </w:rPr>
        <w:lastRenderedPageBreak/>
        <w:t xml:space="preserve">Łączna długość </w:t>
      </w:r>
      <w:r w:rsidRPr="00AE35C1">
        <w:rPr>
          <w:b/>
          <w:sz w:val="19"/>
          <w:szCs w:val="19"/>
        </w:rPr>
        <w:t>dróg publicznych</w:t>
      </w:r>
      <w:r w:rsidRPr="00AE35C1">
        <w:rPr>
          <w:sz w:val="19"/>
          <w:szCs w:val="19"/>
        </w:rPr>
        <w:t xml:space="preserve"> (krajowych, wojewódzkich, powiatowych i gminnych) o nawierzchni </w:t>
      </w:r>
      <w:r w:rsidR="003825D1" w:rsidRPr="00AE35C1">
        <w:rPr>
          <w:sz w:val="19"/>
          <w:szCs w:val="19"/>
        </w:rPr>
        <w:t>u</w:t>
      </w:r>
      <w:r w:rsidRPr="00AE35C1">
        <w:rPr>
          <w:sz w:val="19"/>
          <w:szCs w:val="19"/>
        </w:rPr>
        <w:t>tward</w:t>
      </w:r>
      <w:r w:rsidR="003825D1" w:rsidRPr="00AE35C1">
        <w:rPr>
          <w:sz w:val="19"/>
          <w:szCs w:val="19"/>
        </w:rPr>
        <w:t>zonej</w:t>
      </w:r>
      <w:r w:rsidRPr="00AE35C1">
        <w:rPr>
          <w:sz w:val="19"/>
          <w:szCs w:val="19"/>
        </w:rPr>
        <w:t xml:space="preserve"> wynosiła w województwie dolnośląskim w 2016 roku 19,5 tys. km. Od 2010-do 2016 roku ich długość zwiększyła się o 1084,4 km. Według Generalnego Pomiaru Ruchu z 2015 </w:t>
      </w:r>
      <w:r w:rsidR="0022557E" w:rsidRPr="00AE35C1">
        <w:rPr>
          <w:sz w:val="19"/>
          <w:szCs w:val="19"/>
        </w:rPr>
        <w:t xml:space="preserve">roku średnie obciążenie ruchem </w:t>
      </w:r>
      <w:r w:rsidRPr="00AE35C1">
        <w:rPr>
          <w:sz w:val="19"/>
          <w:szCs w:val="19"/>
        </w:rPr>
        <w:t>na drogach krajowych wzrosło o 11%, a na drogach wojewódzkich - o 4% w stosunku do  pomiarów z 2010 roku.</w:t>
      </w:r>
    </w:p>
    <w:p w:rsidR="000C6BE4" w:rsidRPr="00AE35C1" w:rsidRDefault="000C6BE4" w:rsidP="005F49A2">
      <w:pPr>
        <w:pStyle w:val="TEKST"/>
        <w:spacing w:after="0"/>
        <w:rPr>
          <w:sz w:val="19"/>
          <w:szCs w:val="19"/>
        </w:rPr>
      </w:pPr>
      <w:r w:rsidRPr="00AE35C1">
        <w:rPr>
          <w:sz w:val="19"/>
          <w:szCs w:val="19"/>
        </w:rPr>
        <w:t xml:space="preserve">Długość zelektryfikowanych </w:t>
      </w:r>
      <w:r w:rsidRPr="00AE35C1">
        <w:rPr>
          <w:b/>
          <w:sz w:val="19"/>
          <w:szCs w:val="19"/>
        </w:rPr>
        <w:t>linii kolejowych</w:t>
      </w:r>
      <w:r w:rsidRPr="00AE35C1">
        <w:rPr>
          <w:sz w:val="19"/>
          <w:szCs w:val="19"/>
        </w:rPr>
        <w:t xml:space="preserve"> zwiększyła się z 1 053 km w 2010 roku do 1 066 km w 2016 roku, natomiast długość eksploatowanych linii kolejowych o dwóch i więcej torach od 2010 roku pozostaje na tym samym poziomie i wynosi 772 km. Gęstość sieci </w:t>
      </w:r>
      <w:r w:rsidRPr="00AE35C1">
        <w:rPr>
          <w:sz w:val="19"/>
          <w:szCs w:val="19"/>
        </w:rPr>
        <w:lastRenderedPageBreak/>
        <w:t>kolejowej w regionie w przeliczeniu na 100 km</w:t>
      </w:r>
      <w:r w:rsidRPr="00AE35C1">
        <w:rPr>
          <w:sz w:val="19"/>
          <w:szCs w:val="19"/>
          <w:vertAlign w:val="superscript"/>
        </w:rPr>
        <w:t>2</w:t>
      </w:r>
      <w:r w:rsidRPr="00AE35C1">
        <w:rPr>
          <w:sz w:val="19"/>
          <w:szCs w:val="19"/>
        </w:rPr>
        <w:t xml:space="preserve"> spadła od 2010 do 2016 roku</w:t>
      </w:r>
      <w:r w:rsidRPr="00AE35C1" w:rsidDel="00B27EB2">
        <w:rPr>
          <w:sz w:val="19"/>
          <w:szCs w:val="19"/>
        </w:rPr>
        <w:t xml:space="preserve"> </w:t>
      </w:r>
      <w:r w:rsidRPr="00AE35C1">
        <w:rPr>
          <w:sz w:val="19"/>
          <w:szCs w:val="19"/>
        </w:rPr>
        <w:t>z 8,9 km/100 km</w:t>
      </w:r>
      <w:r w:rsidRPr="00AE35C1">
        <w:rPr>
          <w:sz w:val="19"/>
          <w:szCs w:val="19"/>
          <w:vertAlign w:val="superscript"/>
        </w:rPr>
        <w:t>2</w:t>
      </w:r>
      <w:r w:rsidRPr="00AE35C1">
        <w:rPr>
          <w:sz w:val="19"/>
          <w:szCs w:val="19"/>
        </w:rPr>
        <w:t xml:space="preserve"> do 8,8 km/100 km</w:t>
      </w:r>
      <w:r w:rsidRPr="00AE35C1">
        <w:rPr>
          <w:sz w:val="19"/>
          <w:szCs w:val="19"/>
          <w:vertAlign w:val="superscript"/>
        </w:rPr>
        <w:t>2</w:t>
      </w:r>
      <w:r w:rsidRPr="00AE35C1">
        <w:rPr>
          <w:sz w:val="19"/>
          <w:szCs w:val="19"/>
        </w:rPr>
        <w:t>.</w:t>
      </w:r>
    </w:p>
    <w:p w:rsidR="000C6BE4" w:rsidRDefault="000C6BE4" w:rsidP="005F49A2">
      <w:pPr>
        <w:pStyle w:val="TEKST"/>
        <w:spacing w:before="120" w:after="0"/>
        <w:rPr>
          <w:sz w:val="19"/>
          <w:szCs w:val="19"/>
        </w:rPr>
      </w:pPr>
      <w:r w:rsidRPr="00AE35C1">
        <w:rPr>
          <w:sz w:val="19"/>
          <w:szCs w:val="19"/>
        </w:rPr>
        <w:t xml:space="preserve">Siatka </w:t>
      </w:r>
      <w:r w:rsidRPr="00AE35C1">
        <w:rPr>
          <w:b/>
          <w:sz w:val="19"/>
          <w:szCs w:val="19"/>
        </w:rPr>
        <w:t xml:space="preserve">połączeń lotniczych </w:t>
      </w:r>
      <w:r w:rsidR="00D92D62" w:rsidRPr="00AE35C1">
        <w:rPr>
          <w:sz w:val="19"/>
          <w:szCs w:val="19"/>
        </w:rPr>
        <w:t>dostępnych z </w:t>
      </w:r>
      <w:r w:rsidRPr="00AE35C1">
        <w:rPr>
          <w:sz w:val="19"/>
          <w:szCs w:val="19"/>
        </w:rPr>
        <w:t xml:space="preserve">portu lotniczego </w:t>
      </w:r>
      <w:proofErr w:type="spellStart"/>
      <w:r w:rsidRPr="00AE35C1">
        <w:rPr>
          <w:sz w:val="19"/>
          <w:szCs w:val="19"/>
        </w:rPr>
        <w:t>Wrocław-Strachowice</w:t>
      </w:r>
      <w:proofErr w:type="spellEnd"/>
      <w:r w:rsidRPr="00AE35C1">
        <w:rPr>
          <w:sz w:val="19"/>
          <w:szCs w:val="19"/>
        </w:rPr>
        <w:t xml:space="preserve"> im. Mikołaja Kopernika sukcesywnie się powiększa, zarówno o regularne loty krajowe i międzynarodowe jak i sezonowe loty czarterowe świadczone w ruchu turystycznym. W 2014 roku </w:t>
      </w:r>
      <w:r w:rsidR="006517C0" w:rsidRPr="00AE35C1">
        <w:rPr>
          <w:sz w:val="19"/>
          <w:szCs w:val="19"/>
        </w:rPr>
        <w:t xml:space="preserve">liczba pasażerów </w:t>
      </w:r>
      <w:r w:rsidRPr="00AE35C1">
        <w:rPr>
          <w:sz w:val="19"/>
          <w:szCs w:val="19"/>
        </w:rPr>
        <w:t>przylatujących i wylatujących przekroczyła po raz pierwszy liczbę 2 mln, a w roku 2016 ruch pasażerski wyniósł 2,42 mln.</w:t>
      </w:r>
    </w:p>
    <w:p w:rsidR="00CC5895" w:rsidRDefault="009515BA" w:rsidP="00AE102C">
      <w:pPr>
        <w:pStyle w:val="TEKST"/>
        <w:spacing w:before="120" w:after="0"/>
        <w:rPr>
          <w:sz w:val="19"/>
          <w:szCs w:val="19"/>
        </w:rPr>
      </w:pPr>
      <w:r w:rsidRPr="009515BA">
        <w:rPr>
          <w:sz w:val="19"/>
          <w:szCs w:val="19"/>
        </w:rPr>
        <w:t xml:space="preserve">Istniejące w regionie lotniska lokalne stanowią uzupełnienie dla Międzynarodowego Portu Lotniczego we Wrocławiu, a razem z nim są ważnym elementem </w:t>
      </w:r>
      <w:r w:rsidRPr="009515BA">
        <w:rPr>
          <w:sz w:val="19"/>
          <w:szCs w:val="19"/>
        </w:rPr>
        <w:lastRenderedPageBreak/>
        <w:t>systemu transportowego województwa dolnośląskiego. Funkcjonowanie sieci lotnisk lokalnych dyspozycyjnych wpływa na znaczną poprawę sytuacji w zakresie bezpieczeństwa publicznego poprzez większy potencjał rozwoju lotnictwa ratunkowego i sanitarnego</w:t>
      </w:r>
      <w:r>
        <w:rPr>
          <w:sz w:val="19"/>
          <w:szCs w:val="19"/>
        </w:rPr>
        <w:t>, a także umożliwia połączenia województwa dolnośląskiego z</w:t>
      </w:r>
      <w:r w:rsidR="00AE102C">
        <w:rPr>
          <w:sz w:val="19"/>
          <w:szCs w:val="19"/>
        </w:rPr>
        <w:t> </w:t>
      </w:r>
      <w:r>
        <w:rPr>
          <w:sz w:val="19"/>
          <w:szCs w:val="19"/>
        </w:rPr>
        <w:t xml:space="preserve">innymi regionami przy wykorzystaniu małych </w:t>
      </w:r>
      <w:r>
        <w:rPr>
          <w:sz w:val="19"/>
          <w:szCs w:val="19"/>
        </w:rPr>
        <w:lastRenderedPageBreak/>
        <w:t xml:space="preserve">(niskopułapowych) </w:t>
      </w:r>
      <w:proofErr w:type="spellStart"/>
      <w:r>
        <w:rPr>
          <w:sz w:val="19"/>
          <w:szCs w:val="19"/>
        </w:rPr>
        <w:t>samolotów.</w:t>
      </w:r>
      <w:r w:rsidR="00691FEE" w:rsidRPr="00AE35C1">
        <w:rPr>
          <w:b/>
          <w:sz w:val="19"/>
          <w:szCs w:val="19"/>
        </w:rPr>
        <w:t>Dostępność</w:t>
      </w:r>
      <w:proofErr w:type="spellEnd"/>
      <w:r w:rsidR="00691FEE" w:rsidRPr="00AE35C1">
        <w:rPr>
          <w:b/>
          <w:sz w:val="19"/>
          <w:szCs w:val="19"/>
        </w:rPr>
        <w:t xml:space="preserve"> transportowa zewnętrzna. </w:t>
      </w:r>
      <w:r w:rsidR="00691FEE" w:rsidRPr="00AE35C1">
        <w:rPr>
          <w:sz w:val="19"/>
          <w:szCs w:val="19"/>
        </w:rPr>
        <w:t xml:space="preserve">Transeuropejska Sieć Transportowa TEN-T jest instrumentem służącym koordynacji oraz zapewnieniu spójności i komplementarności inwestycji infrastrukturalnych. Posiada ona strukturę dwupoziomową, a w jej skład wchodzi sieć bazowa oraz kompleksowa. </w:t>
      </w:r>
    </w:p>
    <w:p w:rsidR="00CC5895" w:rsidRPr="00AE35C1" w:rsidRDefault="00CC5895" w:rsidP="005F49A2">
      <w:pPr>
        <w:pStyle w:val="TEKST"/>
        <w:spacing w:after="0"/>
        <w:rPr>
          <w:sz w:val="19"/>
          <w:szCs w:val="19"/>
        </w:rPr>
        <w:sectPr w:rsidR="00CC5895" w:rsidRPr="00AE35C1" w:rsidSect="00E73C96">
          <w:type w:val="continuous"/>
          <w:pgSz w:w="11906" w:h="16838"/>
          <w:pgMar w:top="1276" w:right="1276" w:bottom="1417" w:left="1417" w:header="708" w:footer="708" w:gutter="0"/>
          <w:cols w:num="2" w:space="454"/>
          <w:titlePg/>
          <w:docGrid w:linePitch="360"/>
        </w:sectPr>
      </w:pPr>
    </w:p>
    <w:p w:rsidR="000C6BE4" w:rsidRPr="00AE35C1" w:rsidRDefault="000C6BE4" w:rsidP="004D6D17">
      <w:pPr>
        <w:pStyle w:val="MAPA"/>
        <w:spacing w:line="288" w:lineRule="auto"/>
        <w:jc w:val="both"/>
      </w:pPr>
      <w:r w:rsidRPr="00AE35C1">
        <w:lastRenderedPageBreak/>
        <w:t xml:space="preserve">Mapa </w:t>
      </w:r>
      <w:r w:rsidR="004964B3">
        <w:t>31-32</w:t>
      </w:r>
      <w:r w:rsidRPr="00AE35C1">
        <w:t>. powiązania drogowe oraz kolejowe (pasażerskie i towarowe) w ramach sieci bazowej i kompleksowej ten-t.</w:t>
      </w:r>
    </w:p>
    <w:p w:rsidR="000C6BE4" w:rsidRPr="00AE35C1" w:rsidRDefault="0055701D" w:rsidP="005F49A2">
      <w:pPr>
        <w:spacing w:after="0" w:line="288" w:lineRule="auto"/>
        <w:jc w:val="center"/>
        <w:rPr>
          <w:color w:val="000000"/>
          <w:szCs w:val="19"/>
        </w:rPr>
      </w:pPr>
      <w:r>
        <w:rPr>
          <w:noProof/>
          <w:color w:val="000000"/>
          <w:lang w:eastAsia="pl-PL"/>
        </w:rPr>
        <w:drawing>
          <wp:inline distT="0" distB="0" distL="0" distR="0">
            <wp:extent cx="2743200" cy="3409950"/>
            <wp:effectExtent l="19050" t="0" r="0" b="0"/>
            <wp:docPr id="36"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71" cstate="print"/>
                    <a:srcRect/>
                    <a:stretch>
                      <a:fillRect/>
                    </a:stretch>
                  </pic:blipFill>
                  <pic:spPr bwMode="auto">
                    <a:xfrm>
                      <a:off x="0" y="0"/>
                      <a:ext cx="2743200" cy="3409950"/>
                    </a:xfrm>
                    <a:prstGeom prst="rect">
                      <a:avLst/>
                    </a:prstGeom>
                    <a:noFill/>
                    <a:ln w="9525">
                      <a:noFill/>
                      <a:miter lim="800000"/>
                      <a:headEnd/>
                      <a:tailEnd/>
                    </a:ln>
                  </pic:spPr>
                </pic:pic>
              </a:graphicData>
            </a:graphic>
          </wp:inline>
        </w:drawing>
      </w:r>
      <w:r>
        <w:rPr>
          <w:noProof/>
          <w:color w:val="000000"/>
          <w:lang w:eastAsia="pl-PL"/>
        </w:rPr>
        <w:drawing>
          <wp:inline distT="0" distB="0" distL="0" distR="0">
            <wp:extent cx="2886075" cy="3457575"/>
            <wp:effectExtent l="0" t="0" r="9525" b="0"/>
            <wp:docPr id="37"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72" cstate="print"/>
                    <a:srcRect l="-2664" r="-2"/>
                    <a:stretch>
                      <a:fillRect/>
                    </a:stretch>
                  </pic:blipFill>
                  <pic:spPr bwMode="auto">
                    <a:xfrm>
                      <a:off x="0" y="0"/>
                      <a:ext cx="2886075" cy="3457575"/>
                    </a:xfrm>
                    <a:prstGeom prst="rect">
                      <a:avLst/>
                    </a:prstGeom>
                    <a:noFill/>
                    <a:ln w="9525">
                      <a:noFill/>
                      <a:miter lim="800000"/>
                      <a:headEnd/>
                      <a:tailEnd/>
                    </a:ln>
                  </pic:spPr>
                </pic:pic>
              </a:graphicData>
            </a:graphic>
          </wp:inline>
        </w:drawing>
      </w:r>
    </w:p>
    <w:p w:rsidR="003825D1" w:rsidRPr="00AE35C1" w:rsidRDefault="000C6BE4" w:rsidP="005F49A2">
      <w:pPr>
        <w:spacing w:after="120" w:line="288" w:lineRule="auto"/>
        <w:rPr>
          <w:rFonts w:eastAsia="Times New Roman" w:cs="Arial"/>
          <w:i/>
          <w:color w:val="000000"/>
          <w:sz w:val="16"/>
          <w:szCs w:val="16"/>
        </w:rPr>
      </w:pPr>
      <w:r w:rsidRPr="00AE35C1">
        <w:rPr>
          <w:rFonts w:eastAsia="Times New Roman" w:cs="Arial"/>
          <w:i/>
          <w:color w:val="000000"/>
          <w:sz w:val="16"/>
          <w:szCs w:val="16"/>
        </w:rPr>
        <w:t xml:space="preserve">Źródło: </w:t>
      </w:r>
      <w:r w:rsidR="003825D1" w:rsidRPr="00AE35C1">
        <w:rPr>
          <w:rFonts w:eastAsia="Times New Roman" w:cs="Arial"/>
          <w:i/>
          <w:color w:val="000000"/>
          <w:sz w:val="16"/>
          <w:szCs w:val="16"/>
        </w:rPr>
        <w:t>http://mib.gov.pl/2-TENT.htm</w:t>
      </w:r>
      <w:r w:rsidRPr="00AE35C1">
        <w:rPr>
          <w:rFonts w:eastAsia="Times New Roman" w:cs="Arial"/>
          <w:i/>
          <w:color w:val="000000"/>
          <w:sz w:val="16"/>
          <w:szCs w:val="16"/>
        </w:rPr>
        <w:t>.</w:t>
      </w:r>
    </w:p>
    <w:p w:rsidR="000C6BE4" w:rsidRPr="00AE35C1" w:rsidRDefault="000C6BE4" w:rsidP="005F49A2">
      <w:pPr>
        <w:spacing w:after="120" w:line="288" w:lineRule="auto"/>
        <w:rPr>
          <w:rFonts w:eastAsia="Times New Roman" w:cs="Arial"/>
          <w:i/>
          <w:color w:val="000000"/>
          <w:sz w:val="16"/>
          <w:szCs w:val="16"/>
        </w:rPr>
        <w:sectPr w:rsidR="000C6BE4" w:rsidRPr="00AE35C1" w:rsidSect="00E73C96">
          <w:type w:val="continuous"/>
          <w:pgSz w:w="11906" w:h="16838"/>
          <w:pgMar w:top="1276" w:right="1274" w:bottom="1417" w:left="1417" w:header="708" w:footer="708" w:gutter="0"/>
          <w:cols w:space="708"/>
          <w:titlePg/>
          <w:docGrid w:linePitch="360"/>
        </w:sectPr>
      </w:pPr>
    </w:p>
    <w:p w:rsidR="00691FEE" w:rsidRPr="00AE35C1" w:rsidRDefault="00691FEE" w:rsidP="00691FEE">
      <w:pPr>
        <w:pStyle w:val="TEKST"/>
        <w:spacing w:before="120" w:after="0"/>
        <w:rPr>
          <w:sz w:val="19"/>
          <w:szCs w:val="19"/>
        </w:rPr>
      </w:pPr>
      <w:r w:rsidRPr="00AE35C1">
        <w:rPr>
          <w:sz w:val="19"/>
          <w:szCs w:val="19"/>
        </w:rPr>
        <w:lastRenderedPageBreak/>
        <w:t>Państwom członkowskim wyznaczono obowiązek rozwijania sieci bazowej do 2030 r. Spośród elementów sieci bazowej dla bardziej efektywnego jej wdrażania i przyśpieszenia prac nad projektami infrastrukturalnymi o największej europejskiej wartości dodanej ustanowiono korytarze sieci bazowej TEN-T. Przez obszar województwa dolnośląskiego przebiega korytarz Bałtyk – Adriatyk, który jest jednym z dziewięciu korytarzy ustanowionych na terenie UE, a w jego skład wchodzą jedne z najważniejszych transeuropejskich sieci drogowo-kolejowych. W ramach rozszerzenia sieci TEN-T na terenie województwa dolnośląs</w:t>
      </w:r>
      <w:r w:rsidR="0022557E" w:rsidRPr="00AE35C1">
        <w:rPr>
          <w:sz w:val="19"/>
          <w:szCs w:val="19"/>
        </w:rPr>
        <w:t xml:space="preserve">kiego uwzględniono następujące </w:t>
      </w:r>
      <w:r w:rsidRPr="00AE35C1">
        <w:rPr>
          <w:sz w:val="19"/>
          <w:szCs w:val="19"/>
        </w:rPr>
        <w:t xml:space="preserve">istniejące i planowane elementy sieci drogowej i kolejowej: </w:t>
      </w:r>
    </w:p>
    <w:p w:rsidR="003825D1" w:rsidRPr="00AE35C1" w:rsidRDefault="003825D1" w:rsidP="00691FEE">
      <w:pPr>
        <w:spacing w:after="0" w:line="288" w:lineRule="auto"/>
        <w:jc w:val="both"/>
        <w:rPr>
          <w:rFonts w:eastAsia="Times New Roman" w:cs="Arial"/>
          <w:color w:val="000000"/>
          <w:sz w:val="19"/>
          <w:szCs w:val="19"/>
        </w:rPr>
      </w:pPr>
      <w:r w:rsidRPr="00AE35C1">
        <w:rPr>
          <w:rFonts w:eastAsia="Times New Roman" w:cs="Arial"/>
          <w:b/>
          <w:color w:val="000000"/>
          <w:sz w:val="19"/>
          <w:szCs w:val="19"/>
        </w:rPr>
        <w:t xml:space="preserve">Drogowa sieć TEN-T. </w:t>
      </w:r>
      <w:r w:rsidRPr="00AE35C1">
        <w:rPr>
          <w:rFonts w:eastAsia="Times New Roman" w:cs="Arial"/>
          <w:color w:val="000000"/>
          <w:sz w:val="19"/>
          <w:szCs w:val="19"/>
        </w:rPr>
        <w:t>W skład sieci bazowej wchodzą autostrada A4, A8 (Autostradowa Obwodnica Wrocławia) oraz drogi ekspresowe S3 i S8. W</w:t>
      </w:r>
      <w:r w:rsidR="00691FEE" w:rsidRPr="00AE35C1">
        <w:rPr>
          <w:rFonts w:eastAsia="Times New Roman" w:cs="Arial"/>
          <w:color w:val="000000"/>
          <w:sz w:val="19"/>
          <w:szCs w:val="19"/>
        </w:rPr>
        <w:t> </w:t>
      </w:r>
      <w:r w:rsidRPr="00AE35C1">
        <w:rPr>
          <w:rFonts w:eastAsia="Times New Roman" w:cs="Arial"/>
          <w:color w:val="000000"/>
          <w:sz w:val="19"/>
          <w:szCs w:val="19"/>
        </w:rPr>
        <w:t>kompleksowej sieci TEN-T znalazły się autostrada A18 oraz droga ekspresowa S5.</w:t>
      </w:r>
    </w:p>
    <w:p w:rsidR="003825D1" w:rsidRPr="00AE35C1" w:rsidRDefault="003825D1" w:rsidP="00691FEE">
      <w:pPr>
        <w:pStyle w:val="TEKST"/>
        <w:spacing w:after="0"/>
        <w:rPr>
          <w:rFonts w:cs="Calibri"/>
          <w:sz w:val="19"/>
          <w:szCs w:val="19"/>
        </w:rPr>
      </w:pPr>
      <w:r w:rsidRPr="00AE35C1">
        <w:rPr>
          <w:rFonts w:eastAsia="Times New Roman" w:cs="Calibri"/>
          <w:b/>
          <w:sz w:val="19"/>
          <w:szCs w:val="19"/>
        </w:rPr>
        <w:lastRenderedPageBreak/>
        <w:t xml:space="preserve">Kolejowa sieć TEN-T. </w:t>
      </w:r>
      <w:r w:rsidRPr="00AE35C1">
        <w:rPr>
          <w:rFonts w:eastAsia="Times New Roman" w:cs="Calibri"/>
          <w:sz w:val="19"/>
          <w:szCs w:val="19"/>
        </w:rPr>
        <w:t>W ramach sieci TEN-T, uwzględniono linie kolejowe sieci bazowej w</w:t>
      </w:r>
      <w:r w:rsidR="00691FEE" w:rsidRPr="00AE35C1">
        <w:rPr>
          <w:rFonts w:eastAsia="Times New Roman" w:cs="Calibri"/>
          <w:sz w:val="19"/>
          <w:szCs w:val="19"/>
        </w:rPr>
        <w:t> </w:t>
      </w:r>
      <w:r w:rsidRPr="00AE35C1">
        <w:rPr>
          <w:rFonts w:eastAsia="Times New Roman" w:cs="Calibri"/>
          <w:sz w:val="19"/>
          <w:szCs w:val="19"/>
        </w:rPr>
        <w:t xml:space="preserve">przewozach pasażerskich i towarowych przebiegające przez obszar województwa dolnośląskiego, do których należą linie: E30, C-E30 oraz E59. </w:t>
      </w:r>
      <w:r w:rsidRPr="00AE35C1">
        <w:rPr>
          <w:rFonts w:cs="Calibri"/>
          <w:sz w:val="19"/>
          <w:szCs w:val="19"/>
        </w:rPr>
        <w:t>Uzupełnieniem sieci bazowej są linie kolejowe CE 59 i C 59/2 będące w sieci kompleksowej, które tylko w</w:t>
      </w:r>
      <w:r w:rsidR="00691FEE" w:rsidRPr="00AE35C1">
        <w:rPr>
          <w:rFonts w:cs="Calibri"/>
          <w:sz w:val="19"/>
          <w:szCs w:val="19"/>
        </w:rPr>
        <w:t> </w:t>
      </w:r>
      <w:r w:rsidRPr="00AE35C1">
        <w:rPr>
          <w:rFonts w:cs="Calibri"/>
          <w:sz w:val="19"/>
          <w:szCs w:val="19"/>
        </w:rPr>
        <w:t>części są dwutorowe. Ponadto kolejową sieć TEN-T w</w:t>
      </w:r>
      <w:r w:rsidR="00691FEE" w:rsidRPr="00AE35C1">
        <w:rPr>
          <w:rFonts w:cs="Calibri"/>
          <w:sz w:val="19"/>
          <w:szCs w:val="19"/>
        </w:rPr>
        <w:t> </w:t>
      </w:r>
      <w:r w:rsidRPr="00AE35C1">
        <w:rPr>
          <w:rFonts w:cs="Calibri"/>
          <w:sz w:val="19"/>
          <w:szCs w:val="19"/>
        </w:rPr>
        <w:t>regionie uzupełnia planowana kolej dużych prędkości (KDP) tzn. „Y” relacji Warszawa – Łódź – Poznań/Wrocław oraz jego wydłużenie w kierunku Pragi.</w:t>
      </w:r>
    </w:p>
    <w:p w:rsidR="009F7937" w:rsidRDefault="00581F70" w:rsidP="00D113CA">
      <w:pPr>
        <w:pStyle w:val="TEKST"/>
        <w:spacing w:before="120" w:after="0"/>
        <w:rPr>
          <w:sz w:val="19"/>
          <w:szCs w:val="19"/>
        </w:rPr>
      </w:pPr>
      <w:r w:rsidRPr="00AE35C1">
        <w:rPr>
          <w:sz w:val="19"/>
          <w:szCs w:val="19"/>
        </w:rPr>
        <w:t xml:space="preserve">Kolejnym bardzo istotnym elementem </w:t>
      </w:r>
      <w:r w:rsidR="00995D95">
        <w:rPr>
          <w:sz w:val="19"/>
          <w:szCs w:val="19"/>
        </w:rPr>
        <w:t>szlaku</w:t>
      </w:r>
      <w:r w:rsidRPr="00AE35C1">
        <w:rPr>
          <w:sz w:val="19"/>
          <w:szCs w:val="19"/>
        </w:rPr>
        <w:t xml:space="preserve"> transportowego w relacji północ – południe jest Odrzańska Droga Wodna. Odra posiada potencjał transportowy</w:t>
      </w:r>
      <w:r w:rsidR="008E2D7D">
        <w:rPr>
          <w:sz w:val="19"/>
          <w:szCs w:val="19"/>
        </w:rPr>
        <w:t>;</w:t>
      </w:r>
      <w:r w:rsidRPr="00AE35C1">
        <w:rPr>
          <w:sz w:val="19"/>
          <w:szCs w:val="19"/>
        </w:rPr>
        <w:t xml:space="preserve"> aby go w pełni wykorzystać należy p</w:t>
      </w:r>
      <w:r w:rsidR="007E7CC7">
        <w:rPr>
          <w:sz w:val="19"/>
          <w:szCs w:val="19"/>
        </w:rPr>
        <w:t>rzeanalizować techniczne, ekonomiczne i </w:t>
      </w:r>
      <w:r w:rsidR="008E2D7D">
        <w:rPr>
          <w:sz w:val="19"/>
          <w:szCs w:val="19"/>
        </w:rPr>
        <w:t xml:space="preserve">środowiskowe możliwości rozbudowy Odrzańskiej </w:t>
      </w:r>
      <w:r w:rsidR="008E2D7D">
        <w:rPr>
          <w:sz w:val="19"/>
          <w:szCs w:val="19"/>
        </w:rPr>
        <w:lastRenderedPageBreak/>
        <w:t xml:space="preserve">Drogi Wodnej oraz jej powiązania z innymi szlakami wodnymi. </w:t>
      </w:r>
    </w:p>
    <w:p w:rsidR="00031061" w:rsidRDefault="000C6BE4" w:rsidP="00031061">
      <w:pPr>
        <w:pStyle w:val="TEKST"/>
        <w:spacing w:before="120" w:after="0"/>
        <w:rPr>
          <w:sz w:val="19"/>
          <w:szCs w:val="19"/>
        </w:rPr>
      </w:pPr>
      <w:r w:rsidRPr="00AE35C1">
        <w:rPr>
          <w:b/>
          <w:sz w:val="19"/>
          <w:szCs w:val="19"/>
        </w:rPr>
        <w:t>Dostępność transportowa wewnętrzna.</w:t>
      </w:r>
      <w:r w:rsidRPr="00AE35C1">
        <w:rPr>
          <w:b/>
        </w:rPr>
        <w:t xml:space="preserve"> </w:t>
      </w:r>
      <w:r w:rsidRPr="00AE35C1">
        <w:rPr>
          <w:sz w:val="19"/>
          <w:szCs w:val="19"/>
        </w:rPr>
        <w:t xml:space="preserve">Inwestycje drogowe realizowane w ramach sieci TEN-T znacząco poprawią dostępność czasową do głównych miast Dolnego Śląska. Największe zmiany zauważone zostaną na osi północ-południe, w związku z realizacją dróg ekspresowych S3 i S5, co znacznie poprawi dostępność obszarów do </w:t>
      </w:r>
      <w:r w:rsidR="00372836" w:rsidRPr="00AE35C1">
        <w:rPr>
          <w:sz w:val="19"/>
          <w:szCs w:val="19"/>
        </w:rPr>
        <w:t>tej pory zmarginalizowanych (za </w:t>
      </w:r>
      <w:r w:rsidRPr="00AE35C1">
        <w:rPr>
          <w:sz w:val="19"/>
          <w:szCs w:val="19"/>
        </w:rPr>
        <w:t xml:space="preserve">najważniejsze można uznać m.in. Głogów i Milicz). </w:t>
      </w:r>
      <w:r w:rsidR="00691FEE" w:rsidRPr="00AE35C1">
        <w:rPr>
          <w:sz w:val="19"/>
          <w:szCs w:val="19"/>
        </w:rPr>
        <w:t>Z</w:t>
      </w:r>
      <w:r w:rsidRPr="00AE35C1">
        <w:rPr>
          <w:sz w:val="19"/>
          <w:szCs w:val="19"/>
        </w:rPr>
        <w:t xml:space="preserve">naczna poprawa dostępności </w:t>
      </w:r>
      <w:r w:rsidR="00691FEE" w:rsidRPr="00AE35C1">
        <w:rPr>
          <w:sz w:val="19"/>
          <w:szCs w:val="19"/>
        </w:rPr>
        <w:t xml:space="preserve">nastąpi również </w:t>
      </w:r>
      <w:r w:rsidRPr="00AE35C1">
        <w:rPr>
          <w:sz w:val="19"/>
          <w:szCs w:val="19"/>
        </w:rPr>
        <w:t>w</w:t>
      </w:r>
      <w:r w:rsidR="00691FEE" w:rsidRPr="00AE35C1">
        <w:rPr>
          <w:sz w:val="19"/>
          <w:szCs w:val="19"/>
        </w:rPr>
        <w:t> </w:t>
      </w:r>
      <w:r w:rsidRPr="00AE35C1">
        <w:rPr>
          <w:sz w:val="19"/>
          <w:szCs w:val="19"/>
        </w:rPr>
        <w:t>kierunku zachodnim, w szczególności Borów Dolnośląskich oraz okolic Bolesławca, Zgorzelca oraz w</w:t>
      </w:r>
      <w:r w:rsidR="00691FEE" w:rsidRPr="00AE35C1">
        <w:rPr>
          <w:sz w:val="19"/>
          <w:szCs w:val="19"/>
        </w:rPr>
        <w:t> </w:t>
      </w:r>
      <w:r w:rsidRPr="00AE35C1">
        <w:rPr>
          <w:sz w:val="19"/>
          <w:szCs w:val="19"/>
        </w:rPr>
        <w:t xml:space="preserve">kierunku północnym od Wrocławia (powiat trzebnicki i milicki). </w:t>
      </w:r>
    </w:p>
    <w:p w:rsidR="000C6BE4" w:rsidRPr="00AE35C1" w:rsidRDefault="000C6BE4" w:rsidP="004D6D17">
      <w:pPr>
        <w:pStyle w:val="MAPA"/>
        <w:jc w:val="both"/>
      </w:pPr>
      <w:r w:rsidRPr="00AE35C1">
        <w:t>mapa 3</w:t>
      </w:r>
      <w:r w:rsidR="004964B3">
        <w:t>3</w:t>
      </w:r>
      <w:r w:rsidRPr="00AE35C1">
        <w:t>. dostępność czasowa do w</w:t>
      </w:r>
      <w:r w:rsidR="0061081B" w:rsidRPr="00AE35C1">
        <w:t xml:space="preserve">ęzłów na autostradach i drogach </w:t>
      </w:r>
      <w:r w:rsidRPr="00AE35C1">
        <w:t>ekspresowych po realizacji dróg ekspresowych s3 i s5.</w:t>
      </w:r>
    </w:p>
    <w:p w:rsidR="000C6BE4" w:rsidRPr="00AE35C1" w:rsidRDefault="0055701D" w:rsidP="00957B59">
      <w:pPr>
        <w:spacing w:after="0" w:line="288" w:lineRule="auto"/>
        <w:jc w:val="center"/>
        <w:rPr>
          <w:rFonts w:eastAsia="Times New Roman" w:cs="Arial"/>
          <w:i/>
          <w:color w:val="000000"/>
          <w:sz w:val="16"/>
          <w:szCs w:val="16"/>
        </w:rPr>
      </w:pPr>
      <w:r>
        <w:rPr>
          <w:rFonts w:eastAsia="Times New Roman" w:cs="Arial"/>
          <w:i/>
          <w:noProof/>
          <w:color w:val="000000"/>
          <w:sz w:val="16"/>
          <w:szCs w:val="16"/>
          <w:lang w:eastAsia="pl-PL"/>
        </w:rPr>
        <w:drawing>
          <wp:inline distT="0" distB="0" distL="0" distR="0">
            <wp:extent cx="2871633" cy="2512679"/>
            <wp:effectExtent l="0" t="0" r="5080" b="2540"/>
            <wp:docPr id="38" name="Obraz 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02"/>
                    <pic:cNvPicPr>
                      <a:picLocks noChangeAspect="1" noChangeArrowheads="1"/>
                    </pic:cNvPicPr>
                  </pic:nvPicPr>
                  <pic:blipFill>
                    <a:blip r:embed="rId73" cstate="print"/>
                    <a:srcRect l="4494" t="6290" r="4639" b="3345"/>
                    <a:stretch>
                      <a:fillRect/>
                    </a:stretch>
                  </pic:blipFill>
                  <pic:spPr bwMode="auto">
                    <a:xfrm>
                      <a:off x="0" y="0"/>
                      <a:ext cx="2874501" cy="2515189"/>
                    </a:xfrm>
                    <a:prstGeom prst="rect">
                      <a:avLst/>
                    </a:prstGeom>
                    <a:noFill/>
                    <a:ln w="9525">
                      <a:noFill/>
                      <a:miter lim="800000"/>
                      <a:headEnd/>
                      <a:tailEnd/>
                    </a:ln>
                  </pic:spPr>
                </pic:pic>
              </a:graphicData>
            </a:graphic>
          </wp:inline>
        </w:drawing>
      </w:r>
    </w:p>
    <w:p w:rsidR="000C6BE4" w:rsidRPr="00AE35C1" w:rsidRDefault="000C6BE4" w:rsidP="00031061">
      <w:pPr>
        <w:pStyle w:val="RDO"/>
        <w:spacing w:line="288" w:lineRule="auto"/>
        <w:jc w:val="left"/>
        <w:rPr>
          <w:color w:val="000000"/>
          <w:sz w:val="19"/>
          <w:szCs w:val="19"/>
        </w:rPr>
      </w:pPr>
      <w:r w:rsidRPr="00AE35C1">
        <w:rPr>
          <w:color w:val="000000"/>
        </w:rPr>
        <w:t>Źródło: opracowanie własne.</w:t>
      </w:r>
    </w:p>
    <w:p w:rsidR="001B02CD" w:rsidRPr="00AE35C1" w:rsidRDefault="001B02CD" w:rsidP="001E71C6">
      <w:pPr>
        <w:pStyle w:val="MAPA"/>
        <w:jc w:val="both"/>
      </w:pPr>
      <w:r w:rsidRPr="00AE35C1">
        <w:t>mapa 3</w:t>
      </w:r>
      <w:r w:rsidR="004964B3">
        <w:t>4</w:t>
      </w:r>
      <w:r w:rsidRPr="00AE35C1">
        <w:t>. Kolejowa dostępność czasowa do ośrodków ponadlokalnych.</w:t>
      </w:r>
    </w:p>
    <w:p w:rsidR="001B02CD" w:rsidRPr="00AE35C1" w:rsidRDefault="0055701D" w:rsidP="001B02CD">
      <w:pPr>
        <w:rPr>
          <w:sz w:val="19"/>
          <w:szCs w:val="19"/>
        </w:rPr>
      </w:pPr>
      <w:r>
        <w:rPr>
          <w:i/>
          <w:noProof/>
          <w:color w:val="000000"/>
          <w:lang w:eastAsia="pl-PL"/>
        </w:rPr>
        <w:lastRenderedPageBreak/>
        <w:drawing>
          <wp:anchor distT="0" distB="0" distL="114300" distR="114300" simplePos="0" relativeHeight="251661312" behindDoc="0" locked="0" layoutInCell="1" allowOverlap="1">
            <wp:simplePos x="0" y="0"/>
            <wp:positionH relativeFrom="column">
              <wp:posOffset>635</wp:posOffset>
            </wp:positionH>
            <wp:positionV relativeFrom="paragraph">
              <wp:posOffset>1779574</wp:posOffset>
            </wp:positionV>
            <wp:extent cx="1113155" cy="807720"/>
            <wp:effectExtent l="19050" t="0" r="0" b="0"/>
            <wp:wrapNone/>
            <wp:docPr id="61"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74" cstate="print"/>
                    <a:srcRect l="49005" t="78719" r="17899" b="1276"/>
                    <a:stretch>
                      <a:fillRect/>
                    </a:stretch>
                  </pic:blipFill>
                  <pic:spPr bwMode="auto">
                    <a:xfrm>
                      <a:off x="0" y="0"/>
                      <a:ext cx="1113155" cy="807720"/>
                    </a:xfrm>
                    <a:prstGeom prst="rect">
                      <a:avLst/>
                    </a:prstGeom>
                    <a:noFill/>
                    <a:ln w="9525">
                      <a:noFill/>
                      <a:miter lim="800000"/>
                      <a:headEnd/>
                      <a:tailEnd/>
                    </a:ln>
                  </pic:spPr>
                </pic:pic>
              </a:graphicData>
            </a:graphic>
          </wp:anchor>
        </w:drawing>
      </w:r>
      <w:r>
        <w:rPr>
          <w:noProof/>
          <w:lang w:eastAsia="pl-PL"/>
        </w:rPr>
        <w:drawing>
          <wp:inline distT="0" distB="0" distL="0" distR="0">
            <wp:extent cx="2742288" cy="2528047"/>
            <wp:effectExtent l="0" t="0" r="1270" b="5715"/>
            <wp:docPr id="3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5" cstate="print"/>
                    <a:srcRect b="23137"/>
                    <a:stretch>
                      <a:fillRect/>
                    </a:stretch>
                  </pic:blipFill>
                  <pic:spPr bwMode="auto">
                    <a:xfrm>
                      <a:off x="0" y="0"/>
                      <a:ext cx="2754699" cy="2539488"/>
                    </a:xfrm>
                    <a:prstGeom prst="rect">
                      <a:avLst/>
                    </a:prstGeom>
                    <a:noFill/>
                    <a:ln w="9525">
                      <a:noFill/>
                      <a:miter lim="800000"/>
                      <a:headEnd/>
                      <a:tailEnd/>
                    </a:ln>
                  </pic:spPr>
                </pic:pic>
              </a:graphicData>
            </a:graphic>
          </wp:inline>
        </w:drawing>
      </w:r>
    </w:p>
    <w:p w:rsidR="001B02CD" w:rsidRPr="00AE35C1" w:rsidRDefault="001B02CD" w:rsidP="00C612C4">
      <w:pPr>
        <w:pStyle w:val="RDO"/>
        <w:spacing w:line="288" w:lineRule="auto"/>
        <w:rPr>
          <w:sz w:val="19"/>
          <w:szCs w:val="19"/>
        </w:rPr>
      </w:pPr>
      <w:r w:rsidRPr="00AE35C1">
        <w:rPr>
          <w:color w:val="000000"/>
        </w:rPr>
        <w:t>Źródło: opracowanie własne.</w:t>
      </w:r>
    </w:p>
    <w:p w:rsidR="00974660" w:rsidRDefault="00957B59" w:rsidP="001B02CD">
      <w:pPr>
        <w:jc w:val="both"/>
        <w:rPr>
          <w:sz w:val="19"/>
          <w:szCs w:val="19"/>
        </w:rPr>
      </w:pPr>
      <w:r w:rsidRPr="00AE35C1">
        <w:rPr>
          <w:sz w:val="19"/>
          <w:szCs w:val="19"/>
        </w:rPr>
        <w:t>Niewielkie zmiany w stosunku do stanu istniejącego zanotowane zostaną w Kotlinie Kłodzkiej, która po zrealizowaniu planowanych inwestycji nadal stanowi obszar marginalizacji względem głównych ośrodków województwa dolnośląskiego. Po realizacji dróg ekspresowych S3 i S5 znacząco wzrośnie udział mieszkańców województwa z dostępnością do 30’ od węzłów drogowych na autostradach i drogach ekspresowych. Liczba mieszkańców województwa w zasięgu do 30’ wyniesie ok. 2,2 mln osób i będzie stanowiła ok 79% mieszkańców województwa (obecnie 1,77 mln, co stanowi ok 63% mieszkańców województwa).</w:t>
      </w:r>
    </w:p>
    <w:p w:rsidR="00AE102C" w:rsidRDefault="00AE102C" w:rsidP="001B02CD">
      <w:pPr>
        <w:jc w:val="both"/>
        <w:rPr>
          <w:color w:val="000000"/>
          <w:sz w:val="19"/>
          <w:szCs w:val="19"/>
        </w:rPr>
      </w:pPr>
      <w:r w:rsidRPr="002050A7">
        <w:rPr>
          <w:color w:val="000000"/>
          <w:sz w:val="19"/>
          <w:szCs w:val="19"/>
        </w:rPr>
        <w:t>Województwo dolnośląskie posiada doskonałe warunki dla rozwoju wszystkich możliwych form ruchu rowerowego. Na potencjał rowerowy regionu składają się zarówno zróżnicowane ukształtowanie terenu z przewagą obszarów nizinnych, gęsta sieć osadnicza silnie powiązana z siecią kolejową, jak i walory przyrodnicze, krajobrazowe oraz kulturowe, położenie w granicach polsko-czeskiego i polsko-niemieckiego pogranicza i łagodny klimat skutecznie wydłużający sezon rowerowy. Według danych GUS długość ścieżek rowerowych (bez długości szlaków rowerowych), które były w zarządzie jednostek samorządu terytorialnego w 2016 roku wynosiła w województwie dolnośląskim 694 km, czyli 24,4 km ścieżek rowerowych na 10 tys. ludności i 347,9 km na 10 tys. km</w:t>
      </w:r>
      <w:r w:rsidRPr="00AE102C">
        <w:rPr>
          <w:color w:val="000000"/>
          <w:sz w:val="19"/>
          <w:szCs w:val="19"/>
          <w:vertAlign w:val="superscript"/>
        </w:rPr>
        <w:t>2</w:t>
      </w:r>
      <w:r w:rsidRPr="002050A7">
        <w:rPr>
          <w:color w:val="000000"/>
          <w:sz w:val="19"/>
          <w:szCs w:val="19"/>
        </w:rPr>
        <w:t>.</w:t>
      </w:r>
    </w:p>
    <w:p w:rsidR="00957B59" w:rsidRDefault="00957B59" w:rsidP="001B02CD">
      <w:pPr>
        <w:jc w:val="both"/>
        <w:rPr>
          <w:color w:val="000000"/>
          <w:sz w:val="19"/>
          <w:szCs w:val="19"/>
        </w:rPr>
      </w:pPr>
    </w:p>
    <w:p w:rsidR="00957B59" w:rsidRPr="00AE35C1" w:rsidRDefault="00957B59" w:rsidP="001B02CD">
      <w:pPr>
        <w:jc w:val="both"/>
        <w:rPr>
          <w:sz w:val="19"/>
          <w:szCs w:val="19"/>
        </w:rPr>
        <w:sectPr w:rsidR="00957B59" w:rsidRPr="00AE35C1" w:rsidSect="00E73C96">
          <w:type w:val="continuous"/>
          <w:pgSz w:w="11906" w:h="16838"/>
          <w:pgMar w:top="1276" w:right="1274" w:bottom="1417" w:left="1417" w:header="708" w:footer="708" w:gutter="0"/>
          <w:cols w:num="2" w:space="708"/>
          <w:titlePg/>
          <w:docGrid w:linePitch="360"/>
        </w:sectPr>
      </w:pPr>
    </w:p>
    <w:tbl>
      <w:tblPr>
        <w:tblW w:w="9209" w:type="dxa"/>
        <w:jc w:val="center"/>
        <w:tblBorders>
          <w:insideH w:val="single" w:sz="18" w:space="0" w:color="FFFFFF"/>
          <w:insideV w:val="single" w:sz="18" w:space="0" w:color="FFFFFF"/>
        </w:tblBorders>
        <w:shd w:val="clear" w:color="auto" w:fill="F2F2F2"/>
        <w:tblLook w:val="04A0"/>
      </w:tblPr>
      <w:tblGrid>
        <w:gridCol w:w="3544"/>
        <w:gridCol w:w="5665"/>
      </w:tblGrid>
      <w:tr w:rsidR="00AB6BCA" w:rsidRPr="00AE35C1" w:rsidTr="000666B0">
        <w:trPr>
          <w:tblHeader/>
          <w:jc w:val="center"/>
        </w:trPr>
        <w:tc>
          <w:tcPr>
            <w:tcW w:w="3544" w:type="dxa"/>
            <w:shd w:val="clear" w:color="auto" w:fill="F2F2F2"/>
          </w:tcPr>
          <w:p w:rsidR="00AB6BCA" w:rsidRPr="00AE35C1" w:rsidRDefault="00AB6BCA" w:rsidP="00D64828">
            <w:pPr>
              <w:spacing w:before="60" w:after="60" w:line="288" w:lineRule="auto"/>
              <w:jc w:val="center"/>
              <w:rPr>
                <w:b/>
                <w:color w:val="000000"/>
                <w:sz w:val="18"/>
                <w:szCs w:val="18"/>
              </w:rPr>
            </w:pPr>
            <w:r w:rsidRPr="00AE35C1">
              <w:rPr>
                <w:b/>
                <w:color w:val="000000"/>
                <w:sz w:val="18"/>
                <w:szCs w:val="18"/>
              </w:rPr>
              <w:lastRenderedPageBreak/>
              <w:t>MOCNE STRONY</w:t>
            </w:r>
          </w:p>
        </w:tc>
        <w:tc>
          <w:tcPr>
            <w:tcW w:w="5665" w:type="dxa"/>
            <w:shd w:val="clear" w:color="auto" w:fill="F2F2F2"/>
          </w:tcPr>
          <w:p w:rsidR="00AB6BCA" w:rsidRPr="00AE35C1" w:rsidRDefault="00AB6BCA" w:rsidP="00D64828">
            <w:pPr>
              <w:spacing w:before="60" w:after="60" w:line="288" w:lineRule="auto"/>
              <w:jc w:val="center"/>
              <w:rPr>
                <w:b/>
                <w:color w:val="000000"/>
                <w:sz w:val="18"/>
                <w:szCs w:val="18"/>
              </w:rPr>
            </w:pPr>
            <w:r w:rsidRPr="00AE35C1">
              <w:rPr>
                <w:b/>
                <w:color w:val="000000"/>
                <w:sz w:val="18"/>
                <w:szCs w:val="18"/>
              </w:rPr>
              <w:t>SŁABE STRONY</w:t>
            </w:r>
          </w:p>
        </w:tc>
      </w:tr>
      <w:tr w:rsidR="00863546" w:rsidRPr="00AE35C1" w:rsidTr="000666B0">
        <w:trPr>
          <w:jc w:val="center"/>
        </w:trPr>
        <w:tc>
          <w:tcPr>
            <w:tcW w:w="3544" w:type="dxa"/>
            <w:shd w:val="clear" w:color="auto" w:fill="F2F2F2"/>
          </w:tcPr>
          <w:p w:rsidR="00863546" w:rsidRPr="00AE35C1" w:rsidRDefault="00863546" w:rsidP="00863546">
            <w:pPr>
              <w:pStyle w:val="Akapitzlist"/>
              <w:numPr>
                <w:ilvl w:val="0"/>
                <w:numId w:val="40"/>
              </w:numPr>
              <w:spacing w:before="60" w:after="60" w:line="288" w:lineRule="auto"/>
              <w:ind w:left="313" w:hanging="284"/>
              <w:jc w:val="both"/>
              <w:rPr>
                <w:color w:val="000000"/>
                <w:sz w:val="17"/>
                <w:szCs w:val="17"/>
              </w:rPr>
            </w:pPr>
            <w:r w:rsidRPr="00AE35C1">
              <w:rPr>
                <w:color w:val="000000"/>
                <w:sz w:val="17"/>
                <w:szCs w:val="17"/>
              </w:rPr>
              <w:t>bardzo dobre skomunikowanie drogami szybkiego ruchu w relacji wschód-zachód oraz północ-południe (poprzez realizację S3 i S5),</w:t>
            </w:r>
          </w:p>
          <w:p w:rsidR="00863546" w:rsidRPr="00AE35C1" w:rsidRDefault="00863546" w:rsidP="00863546">
            <w:pPr>
              <w:pStyle w:val="Akapitzlist"/>
              <w:numPr>
                <w:ilvl w:val="0"/>
                <w:numId w:val="40"/>
              </w:numPr>
              <w:spacing w:before="60" w:after="60" w:line="288" w:lineRule="auto"/>
              <w:ind w:left="313" w:hanging="284"/>
              <w:jc w:val="both"/>
              <w:rPr>
                <w:color w:val="000000"/>
                <w:sz w:val="17"/>
                <w:szCs w:val="17"/>
              </w:rPr>
            </w:pPr>
            <w:r w:rsidRPr="00AE35C1">
              <w:rPr>
                <w:color w:val="000000"/>
                <w:sz w:val="17"/>
                <w:szCs w:val="17"/>
              </w:rPr>
              <w:t xml:space="preserve">bardzo dobra dostępność dużych ośrodków </w:t>
            </w:r>
            <w:r w:rsidRPr="00AE35C1">
              <w:rPr>
                <w:color w:val="000000"/>
                <w:sz w:val="17"/>
                <w:szCs w:val="17"/>
              </w:rPr>
              <w:lastRenderedPageBreak/>
              <w:t>do węzłów autostrad i dróg ekspresowych,</w:t>
            </w:r>
          </w:p>
          <w:p w:rsidR="00863546" w:rsidRPr="00AE35C1" w:rsidRDefault="00863546" w:rsidP="00863546">
            <w:pPr>
              <w:pStyle w:val="Akapitzlist"/>
              <w:numPr>
                <w:ilvl w:val="0"/>
                <w:numId w:val="40"/>
              </w:numPr>
              <w:spacing w:before="60" w:after="60" w:line="288" w:lineRule="auto"/>
              <w:ind w:left="313" w:hanging="284"/>
              <w:jc w:val="both"/>
              <w:rPr>
                <w:color w:val="000000"/>
                <w:sz w:val="17"/>
                <w:szCs w:val="17"/>
              </w:rPr>
            </w:pPr>
            <w:r w:rsidRPr="00AE35C1">
              <w:rPr>
                <w:color w:val="000000"/>
                <w:sz w:val="17"/>
                <w:szCs w:val="17"/>
              </w:rPr>
              <w:t xml:space="preserve">jedna z najgęstszych w Polsce sieć linii kolejowych, </w:t>
            </w:r>
          </w:p>
          <w:p w:rsidR="00863546" w:rsidRPr="00AE35C1" w:rsidRDefault="00863546" w:rsidP="00863546">
            <w:pPr>
              <w:pStyle w:val="Akapitzlist"/>
              <w:numPr>
                <w:ilvl w:val="0"/>
                <w:numId w:val="40"/>
              </w:numPr>
              <w:spacing w:before="60" w:after="60" w:line="288" w:lineRule="auto"/>
              <w:ind w:left="313" w:hanging="284"/>
              <w:jc w:val="both"/>
              <w:rPr>
                <w:color w:val="000000"/>
                <w:sz w:val="17"/>
                <w:szCs w:val="17"/>
              </w:rPr>
            </w:pPr>
            <w:r w:rsidRPr="00AE35C1">
              <w:rPr>
                <w:color w:val="000000"/>
                <w:sz w:val="17"/>
                <w:szCs w:val="17"/>
              </w:rPr>
              <w:t xml:space="preserve">nowoczesny tabor kolejowy, wysoki standard kolejowych przewozów pasażerskich oraz postępujące prace modernizacyjne na sieci Międzynarodowy Port Lotniczy we Wrocławiu o stale zwiększającej się ofercie, </w:t>
            </w:r>
          </w:p>
          <w:p w:rsidR="00863546" w:rsidRPr="00AE35C1" w:rsidRDefault="00863546" w:rsidP="00863546">
            <w:pPr>
              <w:pStyle w:val="Akapitzlist"/>
              <w:numPr>
                <w:ilvl w:val="0"/>
                <w:numId w:val="40"/>
              </w:numPr>
              <w:spacing w:before="60" w:after="60" w:line="288" w:lineRule="auto"/>
              <w:ind w:left="313" w:hanging="284"/>
              <w:jc w:val="both"/>
              <w:rPr>
                <w:color w:val="000000"/>
                <w:sz w:val="17"/>
                <w:szCs w:val="17"/>
              </w:rPr>
            </w:pPr>
            <w:r w:rsidRPr="00AE35C1">
              <w:rPr>
                <w:color w:val="000000"/>
                <w:sz w:val="17"/>
                <w:szCs w:val="17"/>
              </w:rPr>
              <w:t>zwiększające się</w:t>
            </w:r>
            <w:r w:rsidR="00372836" w:rsidRPr="00AE35C1">
              <w:rPr>
                <w:color w:val="000000"/>
                <w:sz w:val="17"/>
                <w:szCs w:val="17"/>
              </w:rPr>
              <w:t xml:space="preserve"> wykorzystanie Odry w </w:t>
            </w:r>
            <w:r w:rsidRPr="00AE35C1">
              <w:rPr>
                <w:color w:val="000000"/>
                <w:sz w:val="17"/>
                <w:szCs w:val="17"/>
              </w:rPr>
              <w:t>celach turystycznych,</w:t>
            </w:r>
          </w:p>
          <w:p w:rsidR="00863546" w:rsidRPr="00AE35C1" w:rsidRDefault="00863546" w:rsidP="00D92D62">
            <w:pPr>
              <w:pStyle w:val="Akapitzlist"/>
              <w:numPr>
                <w:ilvl w:val="0"/>
                <w:numId w:val="16"/>
              </w:numPr>
              <w:spacing w:before="60" w:after="60" w:line="288" w:lineRule="auto"/>
              <w:ind w:left="313" w:hanging="313"/>
              <w:jc w:val="both"/>
              <w:rPr>
                <w:color w:val="000000"/>
                <w:sz w:val="17"/>
                <w:szCs w:val="17"/>
              </w:rPr>
            </w:pPr>
            <w:r w:rsidRPr="00AE35C1">
              <w:rPr>
                <w:color w:val="000000"/>
                <w:sz w:val="17"/>
                <w:szCs w:val="17"/>
              </w:rPr>
              <w:t xml:space="preserve">rosnące zainteresowanie wykorzystaniem roweru zarówno w komunikacji, rekreacji jak i w turystyce, </w:t>
            </w:r>
          </w:p>
          <w:p w:rsidR="00863546" w:rsidRPr="00AE35C1" w:rsidRDefault="00372836" w:rsidP="00863546">
            <w:pPr>
              <w:pStyle w:val="Akapitzlist"/>
              <w:numPr>
                <w:ilvl w:val="0"/>
                <w:numId w:val="40"/>
              </w:numPr>
              <w:spacing w:before="60" w:after="60" w:line="288" w:lineRule="auto"/>
              <w:ind w:left="313" w:hanging="284"/>
              <w:jc w:val="both"/>
              <w:rPr>
                <w:color w:val="000000"/>
                <w:sz w:val="17"/>
                <w:szCs w:val="17"/>
              </w:rPr>
            </w:pPr>
            <w:r w:rsidRPr="00AE35C1">
              <w:rPr>
                <w:color w:val="000000"/>
                <w:sz w:val="17"/>
                <w:szCs w:val="17"/>
              </w:rPr>
              <w:t>modelowe rozwiązania rowerowe w </w:t>
            </w:r>
            <w:r w:rsidR="00863546" w:rsidRPr="00AE35C1">
              <w:rPr>
                <w:color w:val="000000"/>
                <w:sz w:val="17"/>
                <w:szCs w:val="17"/>
              </w:rPr>
              <w:t>z</w:t>
            </w:r>
            <w:r w:rsidRPr="00AE35C1">
              <w:rPr>
                <w:color w:val="000000"/>
                <w:sz w:val="17"/>
                <w:szCs w:val="17"/>
              </w:rPr>
              <w:t>akresie planowania, wdrażania i </w:t>
            </w:r>
            <w:r w:rsidR="00863546" w:rsidRPr="00AE35C1">
              <w:rPr>
                <w:color w:val="000000"/>
                <w:sz w:val="17"/>
                <w:szCs w:val="17"/>
              </w:rPr>
              <w:t>zarządzania rozwojem ruchu rowerowego we Wrocławiu, będące inspiracją dla p</w:t>
            </w:r>
            <w:r w:rsidRPr="00AE35C1">
              <w:rPr>
                <w:color w:val="000000"/>
                <w:sz w:val="17"/>
                <w:szCs w:val="17"/>
              </w:rPr>
              <w:t>ozostałych ośrodków miejskich w </w:t>
            </w:r>
            <w:r w:rsidR="00863546" w:rsidRPr="00AE35C1">
              <w:rPr>
                <w:color w:val="000000"/>
                <w:sz w:val="17"/>
                <w:szCs w:val="17"/>
              </w:rPr>
              <w:t>regionie.</w:t>
            </w:r>
          </w:p>
        </w:tc>
        <w:tc>
          <w:tcPr>
            <w:tcW w:w="5665" w:type="dxa"/>
            <w:shd w:val="clear" w:color="auto" w:fill="F2F2F2"/>
          </w:tcPr>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lastRenderedPageBreak/>
              <w:t>słabe skomunikowanie drogami szybkiego ruchu w relacji północ-południe,</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słaba dostępność do węzłów autostrad i dróg ekspresowych obszarów górskich,</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brak obwodnic wielu miejscowości,</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lastRenderedPageBreak/>
              <w:t xml:space="preserve">zagrożenie wyczerpania przepustowości na wielu odcinkach autostrady A4, </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 xml:space="preserve">niewystarczająca </w:t>
            </w:r>
            <w:r w:rsidR="006517C0" w:rsidRPr="00AE35C1">
              <w:rPr>
                <w:color w:val="000000"/>
                <w:sz w:val="17"/>
                <w:szCs w:val="17"/>
              </w:rPr>
              <w:t xml:space="preserve">liczba przepraw </w:t>
            </w:r>
            <w:r w:rsidRPr="00AE35C1">
              <w:rPr>
                <w:color w:val="000000"/>
                <w:sz w:val="17"/>
                <w:szCs w:val="17"/>
              </w:rPr>
              <w:t xml:space="preserve">mostowych przez rzekę Odrę, </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 xml:space="preserve">zmniejszająca się długość eksploatowanych linii kolejowych,  </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niezadowalająca długość zelektryfikowanych linii kolejowych,</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występowanie odcinków jednotorowych na liniach kolejowych w</w:t>
            </w:r>
            <w:r w:rsidR="00D92D62" w:rsidRPr="00AE35C1">
              <w:rPr>
                <w:color w:val="000000"/>
                <w:sz w:val="17"/>
                <w:szCs w:val="17"/>
              </w:rPr>
              <w:t> </w:t>
            </w:r>
            <w:r w:rsidRPr="00AE35C1">
              <w:rPr>
                <w:color w:val="000000"/>
                <w:sz w:val="17"/>
                <w:szCs w:val="17"/>
              </w:rPr>
              <w:t>sieci kompleksowej TEN-T ograniczających ich przepustowość,</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niedostosowanie stacji i przystanków kolejowych do obecnych potrzeb (zbyt mała liczba przystanków w aglome</w:t>
            </w:r>
            <w:r w:rsidR="00372836" w:rsidRPr="00AE35C1">
              <w:rPr>
                <w:color w:val="000000"/>
                <w:sz w:val="17"/>
                <w:szCs w:val="17"/>
              </w:rPr>
              <w:t>racjach, mała liczba mijanek na </w:t>
            </w:r>
            <w:r w:rsidRPr="00AE35C1">
              <w:rPr>
                <w:color w:val="000000"/>
                <w:sz w:val="17"/>
                <w:szCs w:val="17"/>
              </w:rPr>
              <w:t>liniach jednotorowych, ograniczona ilość miejsc z</w:t>
            </w:r>
            <w:r w:rsidR="00D92D62" w:rsidRPr="00AE35C1">
              <w:rPr>
                <w:color w:val="000000"/>
                <w:sz w:val="17"/>
                <w:szCs w:val="17"/>
              </w:rPr>
              <w:t> </w:t>
            </w:r>
            <w:r w:rsidRPr="00AE35C1">
              <w:rPr>
                <w:color w:val="000000"/>
                <w:sz w:val="17"/>
                <w:szCs w:val="17"/>
              </w:rPr>
              <w:t>możliwo</w:t>
            </w:r>
            <w:r w:rsidR="000E1AC3" w:rsidRPr="00AE35C1">
              <w:rPr>
                <w:color w:val="000000"/>
                <w:sz w:val="17"/>
                <w:szCs w:val="17"/>
              </w:rPr>
              <w:t>ścią wyprzedzania się pociągów),</w:t>
            </w:r>
          </w:p>
          <w:p w:rsidR="00863546" w:rsidRPr="00AE35C1" w:rsidRDefault="000E1AC3"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niewystarczająco rozwinięty system kolejowych przewozów pasażerskich w układach aglomeracyjnych,</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występowanie obsza</w:t>
            </w:r>
            <w:r w:rsidR="00D92D62" w:rsidRPr="00AE35C1">
              <w:rPr>
                <w:color w:val="000000"/>
                <w:sz w:val="17"/>
                <w:szCs w:val="17"/>
              </w:rPr>
              <w:t xml:space="preserve">rów o ograniczonej dostępności </w:t>
            </w:r>
            <w:r w:rsidRPr="00AE35C1">
              <w:rPr>
                <w:color w:val="000000"/>
                <w:sz w:val="17"/>
                <w:szCs w:val="17"/>
              </w:rPr>
              <w:t xml:space="preserve">do transportu publicznego, </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 xml:space="preserve">niedostateczne zagospodarowanie drogi żeglownej Odry powodujące marginalizację roli żeglugi w systemie transportowym, </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ograniczenie przewozu towarów wysokotonażowych na wielu dro</w:t>
            </w:r>
            <w:r w:rsidR="00920B1D" w:rsidRPr="00AE35C1">
              <w:rPr>
                <w:color w:val="000000"/>
                <w:sz w:val="17"/>
                <w:szCs w:val="17"/>
              </w:rPr>
              <w:t>gowych przejściach granicznych,</w:t>
            </w:r>
            <w:r w:rsidRPr="00AE35C1">
              <w:rPr>
                <w:color w:val="000000"/>
                <w:sz w:val="17"/>
                <w:szCs w:val="17"/>
              </w:rPr>
              <w:t xml:space="preserve"> </w:t>
            </w:r>
          </w:p>
          <w:p w:rsidR="00863546" w:rsidRPr="00AE35C1" w:rsidRDefault="00863546" w:rsidP="00D92D62">
            <w:pPr>
              <w:spacing w:after="0" w:line="288" w:lineRule="auto"/>
              <w:ind w:left="323" w:hanging="323"/>
              <w:jc w:val="both"/>
              <w:rPr>
                <w:color w:val="000000"/>
                <w:sz w:val="17"/>
                <w:szCs w:val="17"/>
              </w:rPr>
            </w:pPr>
            <w:r w:rsidRPr="00AE35C1">
              <w:rPr>
                <w:color w:val="000000"/>
                <w:sz w:val="17"/>
                <w:szCs w:val="17"/>
              </w:rPr>
              <w:t>–</w:t>
            </w:r>
            <w:r w:rsidRPr="00AE35C1">
              <w:rPr>
                <w:color w:val="000000"/>
                <w:sz w:val="17"/>
                <w:szCs w:val="17"/>
              </w:rPr>
              <w:tab/>
              <w:t>niski poziom integracji infrastruktury rowerowej z transportem zbiorowym oraz brak spójnego systemu z</w:t>
            </w:r>
            <w:r w:rsidR="00372836" w:rsidRPr="00AE35C1">
              <w:rPr>
                <w:color w:val="000000"/>
                <w:sz w:val="17"/>
                <w:szCs w:val="17"/>
              </w:rPr>
              <w:t>arządzania polityką rowerową na </w:t>
            </w:r>
            <w:r w:rsidRPr="00AE35C1">
              <w:rPr>
                <w:color w:val="000000"/>
                <w:sz w:val="17"/>
                <w:szCs w:val="17"/>
              </w:rPr>
              <w:t>poszczególnych szczeblach administracji samorządowej,</w:t>
            </w:r>
          </w:p>
          <w:p w:rsidR="00863546" w:rsidRPr="00AE35C1" w:rsidRDefault="00863546" w:rsidP="00D92D62">
            <w:pPr>
              <w:pStyle w:val="Akapitzlist"/>
              <w:numPr>
                <w:ilvl w:val="0"/>
                <w:numId w:val="41"/>
              </w:numPr>
              <w:spacing w:after="0" w:line="288" w:lineRule="auto"/>
              <w:ind w:left="318" w:hanging="284"/>
              <w:jc w:val="both"/>
              <w:rPr>
                <w:color w:val="000000"/>
                <w:sz w:val="17"/>
                <w:szCs w:val="17"/>
              </w:rPr>
            </w:pPr>
            <w:r w:rsidRPr="00AE35C1">
              <w:rPr>
                <w:color w:val="000000"/>
                <w:sz w:val="17"/>
                <w:szCs w:val="17"/>
              </w:rPr>
              <w:t>niski poziom bezpieczeństwa uczestników ruchu rowerowego.</w:t>
            </w:r>
          </w:p>
        </w:tc>
      </w:tr>
    </w:tbl>
    <w:p w:rsidR="004304D6" w:rsidRPr="00AE35C1" w:rsidRDefault="008658E3" w:rsidP="00AE102C">
      <w:pPr>
        <w:pStyle w:val="Nagwek2"/>
        <w:numPr>
          <w:ilvl w:val="1"/>
          <w:numId w:val="59"/>
        </w:numPr>
        <w:spacing w:before="300"/>
        <w:ind w:left="567" w:hanging="567"/>
      </w:pPr>
      <w:bookmarkStart w:id="51" w:name="_Toc511716319"/>
      <w:r w:rsidRPr="00AE35C1">
        <w:rPr>
          <w:caps w:val="0"/>
        </w:rPr>
        <w:lastRenderedPageBreak/>
        <w:t>FINANSE JEDNOSTEK SAMORZ</w:t>
      </w:r>
      <w:r w:rsidR="00B656C2" w:rsidRPr="00AE35C1">
        <w:rPr>
          <w:caps w:val="0"/>
        </w:rPr>
        <w:t>Ą</w:t>
      </w:r>
      <w:r w:rsidRPr="00AE35C1">
        <w:rPr>
          <w:caps w:val="0"/>
        </w:rPr>
        <w:t>DU TERYTORIALNEGO</w:t>
      </w:r>
      <w:bookmarkEnd w:id="51"/>
    </w:p>
    <w:p w:rsidR="004304D6" w:rsidRPr="00AE35C1" w:rsidRDefault="004304D6" w:rsidP="004304D6">
      <w:pPr>
        <w:pStyle w:val="TEKST"/>
        <w:rPr>
          <w:b/>
          <w:color w:val="404040"/>
          <w:szCs w:val="19"/>
        </w:rPr>
        <w:sectPr w:rsidR="004304D6" w:rsidRPr="00AE35C1" w:rsidSect="00E73C96">
          <w:type w:val="continuous"/>
          <w:pgSz w:w="11906" w:h="16838"/>
          <w:pgMar w:top="1571" w:right="1276" w:bottom="1135" w:left="1417" w:header="708" w:footer="708" w:gutter="0"/>
          <w:cols w:space="454"/>
          <w:titlePg/>
          <w:docGrid w:linePitch="360"/>
        </w:sectPr>
      </w:pPr>
    </w:p>
    <w:p w:rsidR="00372836" w:rsidRPr="00AE35C1" w:rsidRDefault="004304D6" w:rsidP="004304D6">
      <w:pPr>
        <w:pStyle w:val="TEKST"/>
        <w:rPr>
          <w:sz w:val="19"/>
          <w:szCs w:val="19"/>
        </w:rPr>
      </w:pPr>
      <w:r w:rsidRPr="00AE35C1">
        <w:rPr>
          <w:b/>
          <w:sz w:val="19"/>
          <w:szCs w:val="19"/>
        </w:rPr>
        <w:lastRenderedPageBreak/>
        <w:t>Budżety powiatów</w:t>
      </w:r>
      <w:r w:rsidRPr="00AE35C1">
        <w:rPr>
          <w:sz w:val="19"/>
          <w:szCs w:val="19"/>
        </w:rPr>
        <w:t xml:space="preserve"> (bez miast na prawach powiatu) w 2016 roku wyniosły w sumie 1 904 mln zł i co było wartością niemal równą w stosunku do 2010 roku (1 905,1 mln zł). Średnie dochody budżetowe powiatów na mieszkańca w Polsce, w latach 2010 i 2016, wyniosły odpowiednio: 869 zł i 928 zł. Dochody powiatów </w:t>
      </w:r>
      <w:r w:rsidR="00CC5895">
        <w:rPr>
          <w:sz w:val="19"/>
          <w:szCs w:val="19"/>
        </w:rPr>
        <w:br/>
      </w:r>
      <w:r w:rsidRPr="00AE35C1">
        <w:rPr>
          <w:sz w:val="19"/>
          <w:szCs w:val="19"/>
        </w:rPr>
        <w:t>w województwie dolnośląskim przekroczyły średnie krajowe i wyniosły analogicznie: 908 zł (2010 rok) i 966 zł (2016 rok). Natomiast najniższe dochody w 2016 r. na osobę osiągnęły powiaty: wrocł</w:t>
      </w:r>
      <w:r w:rsidR="004B2FA8" w:rsidRPr="00AE35C1">
        <w:rPr>
          <w:sz w:val="19"/>
          <w:szCs w:val="19"/>
        </w:rPr>
        <w:t>awski (779 zł), polkowicki (791 </w:t>
      </w:r>
      <w:r w:rsidRPr="00AE35C1">
        <w:rPr>
          <w:sz w:val="19"/>
          <w:szCs w:val="19"/>
        </w:rPr>
        <w:t>zł) i średzki (804 zł). Najwyższe dochody na osobę osiągnęły powiaty: milicki (1 276 zł), wołowski (1 252 zł) i ząbkowicki (1 205 zł). Najwyższe wydatki w przeliczeniu na mieszkańca w 2016 roku na Dolnym Śląsku poniosły: wołowski (1 289 zł), milicki (1 233 zł</w:t>
      </w:r>
      <w:r w:rsidR="004B2FA8" w:rsidRPr="00AE35C1">
        <w:rPr>
          <w:sz w:val="19"/>
          <w:szCs w:val="19"/>
        </w:rPr>
        <w:t>), ząbkowicki (1 198 </w:t>
      </w:r>
      <w:r w:rsidRPr="00AE35C1">
        <w:rPr>
          <w:sz w:val="19"/>
          <w:szCs w:val="19"/>
        </w:rPr>
        <w:t>zł)</w:t>
      </w:r>
      <w:r w:rsidR="00463ADA">
        <w:rPr>
          <w:sz w:val="19"/>
          <w:szCs w:val="19"/>
        </w:rPr>
        <w:t>. N</w:t>
      </w:r>
      <w:r w:rsidRPr="00AE35C1">
        <w:rPr>
          <w:sz w:val="19"/>
          <w:szCs w:val="19"/>
        </w:rPr>
        <w:t>aj</w:t>
      </w:r>
      <w:r w:rsidR="004B2FA8" w:rsidRPr="00AE35C1">
        <w:rPr>
          <w:sz w:val="19"/>
          <w:szCs w:val="19"/>
        </w:rPr>
        <w:t>niższe</w:t>
      </w:r>
      <w:r w:rsidR="00463ADA">
        <w:rPr>
          <w:sz w:val="19"/>
          <w:szCs w:val="19"/>
        </w:rPr>
        <w:t xml:space="preserve"> wydatki miały</w:t>
      </w:r>
      <w:r w:rsidR="004B2FA8" w:rsidRPr="00AE35C1">
        <w:rPr>
          <w:sz w:val="19"/>
          <w:szCs w:val="19"/>
        </w:rPr>
        <w:t xml:space="preserve"> powiaty: wrocławski (731 </w:t>
      </w:r>
      <w:r w:rsidRPr="00AE35C1">
        <w:rPr>
          <w:sz w:val="19"/>
          <w:szCs w:val="19"/>
        </w:rPr>
        <w:t>zł), średzki (766 zł) i polkowicki (811 zł).</w:t>
      </w:r>
    </w:p>
    <w:p w:rsidR="00CA4756" w:rsidRDefault="00CA4756" w:rsidP="00957B59">
      <w:pPr>
        <w:pStyle w:val="TEKST"/>
        <w:rPr>
          <w:sz w:val="19"/>
          <w:szCs w:val="19"/>
        </w:rPr>
      </w:pPr>
      <w:r w:rsidRPr="00AE35C1">
        <w:rPr>
          <w:b/>
          <w:sz w:val="19"/>
          <w:szCs w:val="19"/>
        </w:rPr>
        <w:t xml:space="preserve">Budżety gmin </w:t>
      </w:r>
      <w:r w:rsidRPr="00AE35C1">
        <w:rPr>
          <w:sz w:val="19"/>
          <w:szCs w:val="19"/>
        </w:rPr>
        <w:t xml:space="preserve">na terenie województwa dolnośląskiego stale wzrastają i w 2016 roku zamknęły się kwotą 13 347 mln zł i były większe w stosunku do 2010 roku o 35,3% (9 864,2 mln zł). Dochody budżetów gmin i miast na prawach powiatu mają stałą tendencję wzrostową. </w:t>
      </w:r>
    </w:p>
    <w:p w:rsidR="00372836" w:rsidRPr="00AE35C1" w:rsidRDefault="00372836" w:rsidP="001E71C6">
      <w:pPr>
        <w:pStyle w:val="MAPA"/>
        <w:jc w:val="both"/>
      </w:pPr>
      <w:bookmarkStart w:id="52" w:name="_Toc482170384"/>
      <w:r w:rsidRPr="00AE35C1">
        <w:t>MAPA 3</w:t>
      </w:r>
      <w:r w:rsidR="004964B3">
        <w:t>5</w:t>
      </w:r>
      <w:r w:rsidRPr="00AE35C1">
        <w:t>. Dochody gmin i powiató</w:t>
      </w:r>
      <w:r w:rsidR="00AD0DB4" w:rsidRPr="00AE35C1">
        <w:t>w na 1 mieszkańca w powiatach w </w:t>
      </w:r>
      <w:r w:rsidRPr="00AE35C1">
        <w:t>województwie dolnośląskim [2016].</w:t>
      </w:r>
      <w:bookmarkEnd w:id="52"/>
    </w:p>
    <w:p w:rsidR="00372836" w:rsidRPr="00AE35C1" w:rsidRDefault="0055701D" w:rsidP="00372836">
      <w:pPr>
        <w:pStyle w:val="RDO"/>
        <w:spacing w:after="0"/>
        <w:rPr>
          <w:noProof/>
        </w:rPr>
      </w:pPr>
      <w:r>
        <w:rPr>
          <w:noProof/>
        </w:rPr>
        <w:lastRenderedPageBreak/>
        <w:drawing>
          <wp:inline distT="0" distB="0" distL="0" distR="0">
            <wp:extent cx="2781300" cy="2600325"/>
            <wp:effectExtent l="19050" t="0" r="0" b="0"/>
            <wp:docPr id="4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6" cstate="print"/>
                    <a:srcRect/>
                    <a:stretch>
                      <a:fillRect/>
                    </a:stretch>
                  </pic:blipFill>
                  <pic:spPr bwMode="auto">
                    <a:xfrm>
                      <a:off x="0" y="0"/>
                      <a:ext cx="2781300" cy="2600325"/>
                    </a:xfrm>
                    <a:prstGeom prst="rect">
                      <a:avLst/>
                    </a:prstGeom>
                    <a:noFill/>
                    <a:ln w="9525">
                      <a:noFill/>
                      <a:miter lim="800000"/>
                      <a:headEnd/>
                      <a:tailEnd/>
                    </a:ln>
                  </pic:spPr>
                </pic:pic>
              </a:graphicData>
            </a:graphic>
          </wp:inline>
        </w:drawing>
      </w:r>
    </w:p>
    <w:p w:rsidR="00AE102C" w:rsidRDefault="00372836" w:rsidP="003557AE">
      <w:pPr>
        <w:rPr>
          <w:rFonts w:eastAsia="Times New Roman" w:cs="Arial"/>
          <w:i/>
          <w:color w:val="000000"/>
          <w:sz w:val="16"/>
          <w:szCs w:val="16"/>
          <w:lang w:eastAsia="pl-PL"/>
        </w:rPr>
      </w:pPr>
      <w:r w:rsidRPr="00AE35C1">
        <w:rPr>
          <w:rFonts w:eastAsia="Times New Roman" w:cs="Arial"/>
          <w:i/>
          <w:color w:val="000000"/>
          <w:sz w:val="16"/>
          <w:szCs w:val="16"/>
          <w:lang w:eastAsia="pl-PL"/>
        </w:rPr>
        <w:t>Źródło: opracowanie własne na podstawie danych GUS.</w:t>
      </w:r>
    </w:p>
    <w:p w:rsidR="00957B59" w:rsidRPr="00AE35C1" w:rsidRDefault="00957B59" w:rsidP="00957B59">
      <w:pPr>
        <w:pStyle w:val="TEKST"/>
        <w:spacing w:after="120"/>
        <w:rPr>
          <w:sz w:val="19"/>
          <w:szCs w:val="19"/>
        </w:rPr>
      </w:pPr>
      <w:r w:rsidRPr="00AE35C1">
        <w:rPr>
          <w:sz w:val="19"/>
          <w:szCs w:val="19"/>
        </w:rPr>
        <w:t xml:space="preserve">Średni roczny przyrost dochodów wyniósł 5,9%. Średnie dochody budżetowe gmin na mieszkańca w Polsce, </w:t>
      </w:r>
      <w:r>
        <w:rPr>
          <w:sz w:val="19"/>
          <w:szCs w:val="19"/>
        </w:rPr>
        <w:br/>
      </w:r>
      <w:r w:rsidRPr="00AE35C1">
        <w:rPr>
          <w:sz w:val="19"/>
          <w:szCs w:val="19"/>
        </w:rPr>
        <w:t>w latach 2010 i 2016, wyniosły odpowiednio: 3 276 zł i 4 586 zł. Dochody gmin w województwie dolnośląskim przekroczyły średnie krajowe i wyniosły analogicznie: 3 382 zł (2010 rok) i 4 596 zł (2016 rok).</w:t>
      </w:r>
    </w:p>
    <w:p w:rsidR="00957B59" w:rsidRDefault="00957B59" w:rsidP="006325E3">
      <w:pPr>
        <w:pStyle w:val="TEKST"/>
        <w:spacing w:after="0"/>
        <w:rPr>
          <w:sz w:val="19"/>
          <w:szCs w:val="19"/>
        </w:rPr>
      </w:pPr>
      <w:r w:rsidRPr="00AE35C1">
        <w:rPr>
          <w:sz w:val="19"/>
          <w:szCs w:val="19"/>
        </w:rPr>
        <w:t xml:space="preserve">Najwyższe dochody w przeliczeniu na 1 osobę osiągnęły gminy: Kobierzyce (8 345 zł), Jerzmanowa (8 154 zł) i Polkowice (7 922 zł), natomiast najniższe gminy: </w:t>
      </w:r>
      <w:r w:rsidRPr="00AE35C1">
        <w:rPr>
          <w:sz w:val="19"/>
          <w:szCs w:val="19"/>
        </w:rPr>
        <w:lastRenderedPageBreak/>
        <w:t xml:space="preserve">Pieszyce (2 986 zł), Niemcza (3 053 zł) i Gryfów Śląski (3 200 zł). Najwyższe wydatki per capita w 2016 roku na Dolnym Śląsku odnotowały gminy: Jerzmanowa (8 519 </w:t>
      </w:r>
      <w:r w:rsidRPr="00AE35C1">
        <w:rPr>
          <w:sz w:val="19"/>
          <w:szCs w:val="19"/>
        </w:rPr>
        <w:lastRenderedPageBreak/>
        <w:t>zł), Polkowice (8 265 zł), Kobierzyce (7 711 zł), zaś najniższe gminy: Gryfów Śląski (2 893 zł), Pieszyce (2 940 zł) oraz Piława Górna (2 965 zł).</w:t>
      </w:r>
    </w:p>
    <w:p w:rsidR="00957B59" w:rsidRDefault="00957B59" w:rsidP="006325E3">
      <w:pPr>
        <w:spacing w:after="0"/>
        <w:rPr>
          <w:rFonts w:eastAsia="Times New Roman" w:cs="Arial"/>
          <w:i/>
          <w:color w:val="000000"/>
          <w:sz w:val="16"/>
          <w:szCs w:val="16"/>
          <w:lang w:eastAsia="pl-PL"/>
        </w:rPr>
        <w:sectPr w:rsidR="00957B59" w:rsidSect="00E73C96">
          <w:headerReference w:type="first" r:id="rId77"/>
          <w:footerReference w:type="first" r:id="rId78"/>
          <w:type w:val="continuous"/>
          <w:pgSz w:w="11906" w:h="16838"/>
          <w:pgMar w:top="1571" w:right="1276" w:bottom="1135" w:left="1417" w:header="708" w:footer="708" w:gutter="0"/>
          <w:cols w:num="2" w:space="454"/>
          <w:titlePg/>
          <w:docGrid w:linePitch="360"/>
        </w:sectPr>
      </w:pPr>
    </w:p>
    <w:p w:rsidR="00372836" w:rsidRPr="00AE35C1" w:rsidRDefault="003557AE" w:rsidP="003557AE">
      <w:pPr>
        <w:pStyle w:val="TEKST"/>
        <w:rPr>
          <w:sz w:val="2"/>
          <w:szCs w:val="2"/>
        </w:rPr>
      </w:pPr>
      <w:r w:rsidRPr="00AE35C1">
        <w:rPr>
          <w:sz w:val="2"/>
          <w:szCs w:val="2"/>
        </w:rPr>
        <w:lastRenderedPageBreak/>
        <w:t xml:space="preserve"> </w:t>
      </w:r>
    </w:p>
    <w:p w:rsidR="004304D6" w:rsidRPr="00AE35C1" w:rsidRDefault="004304D6" w:rsidP="004304D6">
      <w:pPr>
        <w:pStyle w:val="RDO"/>
        <w:spacing w:after="0"/>
        <w:rPr>
          <w:sz w:val="2"/>
          <w:szCs w:val="2"/>
        </w:rPr>
        <w:sectPr w:rsidR="004304D6" w:rsidRPr="00AE35C1" w:rsidSect="00E73C96">
          <w:type w:val="continuous"/>
          <w:pgSz w:w="11906" w:h="16838"/>
          <w:pgMar w:top="1571" w:right="1276" w:bottom="1135" w:left="1417" w:header="708" w:footer="708" w:gutter="0"/>
          <w:cols w:num="2" w:space="454"/>
          <w:titlePg/>
          <w:docGrid w:linePitch="360"/>
        </w:sectPr>
      </w:pPr>
    </w:p>
    <w:p w:rsidR="00372836" w:rsidRPr="00AE35C1" w:rsidRDefault="00B309B8" w:rsidP="003E0C12">
      <w:pPr>
        <w:pStyle w:val="Nagwek2"/>
        <w:numPr>
          <w:ilvl w:val="1"/>
          <w:numId w:val="59"/>
        </w:numPr>
        <w:ind w:left="567" w:hanging="567"/>
      </w:pPr>
      <w:bookmarkStart w:id="53" w:name="_Toc511716320"/>
      <w:r w:rsidRPr="00AE35C1">
        <w:lastRenderedPageBreak/>
        <w:t xml:space="preserve">POTENCJAŁY I BARIERY ROZWOJOWE W UKŁADZIE </w:t>
      </w:r>
      <w:r w:rsidR="00FD7829">
        <w:t>sub</w:t>
      </w:r>
      <w:r w:rsidRPr="00AE35C1">
        <w:t>REGIONÓW</w:t>
      </w:r>
      <w:bookmarkEnd w:id="53"/>
      <w:r w:rsidR="00276777">
        <w:rPr>
          <w:rStyle w:val="Odwoanieprzypisudolnego"/>
        </w:rPr>
        <w:footnoteReference w:id="10"/>
      </w:r>
    </w:p>
    <w:tbl>
      <w:tblPr>
        <w:tblW w:w="4957" w:type="pct"/>
        <w:tblInd w:w="-2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shd w:val="clear" w:color="auto" w:fill="D9D9D9"/>
        <w:tblLook w:val="04A0"/>
      </w:tblPr>
      <w:tblGrid>
        <w:gridCol w:w="1459"/>
        <w:gridCol w:w="3859"/>
        <w:gridCol w:w="4030"/>
      </w:tblGrid>
      <w:tr w:rsidR="009A0B6F" w:rsidRPr="006325E3" w:rsidTr="004F75D9">
        <w:trPr>
          <w:tblHeader/>
        </w:trPr>
        <w:tc>
          <w:tcPr>
            <w:tcW w:w="1418" w:type="dxa"/>
            <w:shd w:val="clear" w:color="auto" w:fill="D9D9D9"/>
            <w:vAlign w:val="center"/>
          </w:tcPr>
          <w:p w:rsidR="009A0B6F" w:rsidRPr="006325E3" w:rsidRDefault="00276777" w:rsidP="00276777">
            <w:pPr>
              <w:spacing w:before="20" w:after="20" w:line="288" w:lineRule="auto"/>
              <w:jc w:val="center"/>
              <w:rPr>
                <w:rFonts w:asciiTheme="minorHAnsi" w:hAnsiTheme="minorHAnsi" w:cstheme="minorHAnsi"/>
                <w:b/>
                <w:color w:val="000000"/>
                <w:sz w:val="16"/>
                <w:szCs w:val="16"/>
              </w:rPr>
            </w:pPr>
            <w:r w:rsidRPr="006325E3">
              <w:rPr>
                <w:rFonts w:asciiTheme="minorHAnsi" w:hAnsiTheme="minorHAnsi" w:cstheme="minorHAnsi"/>
                <w:b/>
                <w:color w:val="000000"/>
                <w:sz w:val="16"/>
                <w:szCs w:val="16"/>
              </w:rPr>
              <w:t>Sub</w:t>
            </w:r>
            <w:r w:rsidR="009A0B6F" w:rsidRPr="006325E3">
              <w:rPr>
                <w:rFonts w:asciiTheme="minorHAnsi" w:hAnsiTheme="minorHAnsi" w:cstheme="minorHAnsi"/>
                <w:b/>
                <w:color w:val="000000"/>
                <w:sz w:val="16"/>
                <w:szCs w:val="16"/>
              </w:rPr>
              <w:t>region (NTS 3)</w:t>
            </w:r>
          </w:p>
        </w:tc>
        <w:tc>
          <w:tcPr>
            <w:tcW w:w="3752" w:type="dxa"/>
            <w:shd w:val="clear" w:color="auto" w:fill="D9D9D9"/>
            <w:vAlign w:val="center"/>
          </w:tcPr>
          <w:p w:rsidR="009A0B6F" w:rsidRPr="006325E3" w:rsidRDefault="009A0B6F" w:rsidP="00FD0968">
            <w:pPr>
              <w:spacing w:before="20" w:after="20" w:line="288" w:lineRule="auto"/>
              <w:jc w:val="center"/>
              <w:rPr>
                <w:rFonts w:asciiTheme="minorHAnsi" w:hAnsiTheme="minorHAnsi" w:cstheme="minorHAnsi"/>
                <w:b/>
                <w:color w:val="000000"/>
                <w:sz w:val="16"/>
                <w:szCs w:val="16"/>
              </w:rPr>
            </w:pPr>
            <w:r w:rsidRPr="006325E3">
              <w:rPr>
                <w:rFonts w:asciiTheme="minorHAnsi" w:hAnsiTheme="minorHAnsi" w:cstheme="minorHAnsi"/>
                <w:b/>
                <w:color w:val="000000"/>
                <w:sz w:val="16"/>
                <w:szCs w:val="16"/>
              </w:rPr>
              <w:t>Potencjały rozwojowe</w:t>
            </w:r>
          </w:p>
        </w:tc>
        <w:tc>
          <w:tcPr>
            <w:tcW w:w="3918" w:type="dxa"/>
            <w:shd w:val="clear" w:color="auto" w:fill="D9D9D9"/>
            <w:vAlign w:val="center"/>
          </w:tcPr>
          <w:p w:rsidR="009A0B6F" w:rsidRPr="006325E3" w:rsidRDefault="009A0B6F" w:rsidP="00FD0968">
            <w:pPr>
              <w:spacing w:before="20" w:after="20" w:line="288" w:lineRule="auto"/>
              <w:jc w:val="center"/>
              <w:rPr>
                <w:rFonts w:asciiTheme="minorHAnsi" w:hAnsiTheme="minorHAnsi" w:cstheme="minorHAnsi"/>
                <w:b/>
                <w:color w:val="000000"/>
                <w:sz w:val="16"/>
                <w:szCs w:val="16"/>
              </w:rPr>
            </w:pPr>
            <w:r w:rsidRPr="006325E3">
              <w:rPr>
                <w:rFonts w:asciiTheme="minorHAnsi" w:hAnsiTheme="minorHAnsi" w:cstheme="minorHAnsi"/>
                <w:b/>
                <w:color w:val="000000"/>
                <w:sz w:val="16"/>
                <w:szCs w:val="16"/>
              </w:rPr>
              <w:t>Bariery rozwojowe</w:t>
            </w:r>
          </w:p>
        </w:tc>
      </w:tr>
      <w:tr w:rsidR="009A0B6F" w:rsidRPr="006325E3" w:rsidTr="004F75D9">
        <w:tc>
          <w:tcPr>
            <w:tcW w:w="1418" w:type="dxa"/>
            <w:shd w:val="clear" w:color="auto" w:fill="D9D9D9"/>
          </w:tcPr>
          <w:p w:rsidR="009A0B6F" w:rsidRPr="006325E3" w:rsidRDefault="009A0B6F" w:rsidP="00FD0968">
            <w:pPr>
              <w:spacing w:before="40" w:after="40" w:line="288" w:lineRule="auto"/>
              <w:jc w:val="center"/>
              <w:rPr>
                <w:rFonts w:asciiTheme="minorHAnsi" w:hAnsiTheme="minorHAnsi" w:cstheme="minorHAnsi"/>
                <w:b/>
                <w:color w:val="000000"/>
                <w:sz w:val="16"/>
                <w:szCs w:val="16"/>
              </w:rPr>
            </w:pPr>
            <w:r w:rsidRPr="006325E3">
              <w:rPr>
                <w:rFonts w:asciiTheme="minorHAnsi" w:hAnsiTheme="minorHAnsi" w:cstheme="minorHAnsi"/>
                <w:b/>
                <w:color w:val="000000"/>
                <w:sz w:val="16"/>
                <w:szCs w:val="16"/>
              </w:rPr>
              <w:t>jeleniogórski</w:t>
            </w:r>
          </w:p>
        </w:tc>
        <w:tc>
          <w:tcPr>
            <w:tcW w:w="3752" w:type="dxa"/>
            <w:shd w:val="clear" w:color="auto" w:fill="D9D9D9"/>
          </w:tcPr>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relatywnie niska liczba dzieci w wieku 3-5 lat przypadających na 1 miejsce w placówce wychowania przedszkolnego</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najwyższa w regionie liczba łóżek w szpitalach ogólnych w stosunku do liczby mieszkańców</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rozbudowana oferta kulturalna i turyst</w:t>
            </w:r>
            <w:bookmarkStart w:id="54" w:name="_GoBack"/>
            <w:bookmarkEnd w:id="54"/>
            <w:r w:rsidRPr="006325E3">
              <w:rPr>
                <w:rFonts w:asciiTheme="minorHAnsi" w:hAnsiTheme="minorHAnsi" w:cstheme="minorHAnsi"/>
                <w:color w:val="000000"/>
                <w:sz w:val="16"/>
                <w:szCs w:val="16"/>
              </w:rPr>
              <w:t>yczna</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wysoka atrakcyjność turystyczna obszaru oraz duży potencjał rozwojowy turystyki, oparty o całoroczną bazę uzdrowiskową i wypoczynkową oraz dużą różnorodność profili leczniczych dolnośląskich uzdrowisk</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 poziom aktywności gospodarczej mieszkańców</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wsparcie oferowane przez IOB</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ukształtowanie terenu dające dobre warunki produkcji OZE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 xml:space="preserve">wysoki potencjał atrakcyjności inwestycyjnej </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renta położenia, predestynująca obszar do rozwijania współpracy transgranicznej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zawiązanie porozumienia ZIT w Jeleniogórskim Obszarze Funkcjonalnym</w:t>
            </w:r>
          </w:p>
          <w:p w:rsidR="009A0B6F" w:rsidRPr="006325E3" w:rsidRDefault="009A0B6F" w:rsidP="00FD0968">
            <w:pPr>
              <w:autoSpaceDE w:val="0"/>
              <w:autoSpaceDN w:val="0"/>
              <w:adjustRightInd w:val="0"/>
              <w:spacing w:after="0" w:line="288" w:lineRule="auto"/>
              <w:rPr>
                <w:rFonts w:asciiTheme="minorHAnsi" w:hAnsiTheme="minorHAnsi" w:cstheme="minorHAnsi"/>
                <w:color w:val="000000"/>
                <w:sz w:val="16"/>
                <w:szCs w:val="16"/>
              </w:rPr>
            </w:pPr>
          </w:p>
        </w:tc>
        <w:tc>
          <w:tcPr>
            <w:tcW w:w="3918" w:type="dxa"/>
            <w:shd w:val="clear" w:color="auto" w:fill="D9D9D9"/>
          </w:tcPr>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 poziom zanieczyszczenia powietrza</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wzrost udziału terenów zurbanizowanych i</w:t>
            </w:r>
            <w:r w:rsidR="002050A7" w:rsidRPr="006325E3">
              <w:rPr>
                <w:rFonts w:asciiTheme="minorHAnsi" w:hAnsiTheme="minorHAnsi" w:cstheme="minorHAnsi"/>
                <w:color w:val="000000"/>
                <w:sz w:val="16"/>
                <w:szCs w:val="16"/>
              </w:rPr>
              <w:t> </w:t>
            </w:r>
            <w:r w:rsidRPr="006325E3">
              <w:rPr>
                <w:rFonts w:asciiTheme="minorHAnsi" w:hAnsiTheme="minorHAnsi" w:cstheme="minorHAnsi"/>
                <w:color w:val="000000"/>
                <w:sz w:val="16"/>
                <w:szCs w:val="16"/>
              </w:rPr>
              <w:t>zabudowanych w</w:t>
            </w:r>
            <w:r w:rsidR="00D92D62" w:rsidRPr="006325E3">
              <w:rPr>
                <w:rFonts w:asciiTheme="minorHAnsi" w:hAnsiTheme="minorHAnsi" w:cstheme="minorHAnsi"/>
                <w:color w:val="000000"/>
                <w:sz w:val="16"/>
                <w:szCs w:val="16"/>
              </w:rPr>
              <w:t> </w:t>
            </w:r>
            <w:r w:rsidRPr="006325E3">
              <w:rPr>
                <w:rFonts w:asciiTheme="minorHAnsi" w:hAnsiTheme="minorHAnsi" w:cstheme="minorHAnsi"/>
                <w:color w:val="000000"/>
                <w:sz w:val="16"/>
                <w:szCs w:val="16"/>
              </w:rPr>
              <w:t>gminach sąsiadujących z Jelenią Górą, kosztem przestrzeni rolniczej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konflikty przestr</w:t>
            </w:r>
            <w:r w:rsidR="00AD0DB4" w:rsidRPr="006325E3">
              <w:rPr>
                <w:rFonts w:asciiTheme="minorHAnsi" w:hAnsiTheme="minorHAnsi" w:cstheme="minorHAnsi"/>
                <w:color w:val="000000"/>
                <w:sz w:val="16"/>
                <w:szCs w:val="16"/>
              </w:rPr>
              <w:t>zenne i środowiskowe związane z </w:t>
            </w:r>
            <w:r w:rsidRPr="006325E3">
              <w:rPr>
                <w:rFonts w:asciiTheme="minorHAnsi" w:hAnsiTheme="minorHAnsi" w:cstheme="minorHAnsi"/>
                <w:color w:val="000000"/>
                <w:sz w:val="16"/>
                <w:szCs w:val="16"/>
              </w:rPr>
              <w:t>presją inwestycyjną na obszary zalewowe oraz realizacją inwestycji infrastrukturalnych na terenach cennych przyrodniczo lub w ich sąsiedztwie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 xml:space="preserve">procesy niekontrolowanej </w:t>
            </w:r>
            <w:proofErr w:type="spellStart"/>
            <w:r w:rsidRPr="006325E3">
              <w:rPr>
                <w:rFonts w:asciiTheme="minorHAnsi" w:hAnsiTheme="minorHAnsi" w:cstheme="minorHAnsi"/>
                <w:color w:val="000000"/>
                <w:sz w:val="16"/>
                <w:szCs w:val="16"/>
              </w:rPr>
              <w:t>suburbanizacji</w:t>
            </w:r>
            <w:proofErr w:type="spellEnd"/>
            <w:r w:rsidRPr="006325E3">
              <w:rPr>
                <w:rFonts w:asciiTheme="minorHAnsi" w:hAnsiTheme="minorHAnsi" w:cstheme="minorHAnsi"/>
                <w:color w:val="000000"/>
                <w:sz w:val="16"/>
                <w:szCs w:val="16"/>
              </w:rPr>
              <w:t>, w</w:t>
            </w:r>
            <w:r w:rsidR="002050A7" w:rsidRPr="006325E3">
              <w:rPr>
                <w:rFonts w:asciiTheme="minorHAnsi" w:hAnsiTheme="minorHAnsi" w:cstheme="minorHAnsi"/>
                <w:color w:val="000000"/>
                <w:sz w:val="16"/>
                <w:szCs w:val="16"/>
              </w:rPr>
              <w:t> </w:t>
            </w:r>
            <w:r w:rsidRPr="006325E3">
              <w:rPr>
                <w:rFonts w:asciiTheme="minorHAnsi" w:hAnsiTheme="minorHAnsi" w:cstheme="minorHAnsi"/>
                <w:color w:val="000000"/>
                <w:sz w:val="16"/>
                <w:szCs w:val="16"/>
              </w:rPr>
              <w:t>obszarze Jeleniej Góry</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zdegradowana i zdekapitalizowana tkanka miejska - potrzeba rewitalizacji miast</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pogłębiająca się dyspropor</w:t>
            </w:r>
            <w:r w:rsidR="00D92D62" w:rsidRPr="006325E3">
              <w:rPr>
                <w:rFonts w:asciiTheme="minorHAnsi" w:hAnsiTheme="minorHAnsi" w:cstheme="minorHAnsi"/>
                <w:color w:val="000000"/>
                <w:sz w:val="16"/>
                <w:szCs w:val="16"/>
              </w:rPr>
              <w:t>cja rozwoju między Wrocławiem a </w:t>
            </w:r>
            <w:r w:rsidRPr="006325E3">
              <w:rPr>
                <w:rFonts w:asciiTheme="minorHAnsi" w:hAnsiTheme="minorHAnsi" w:cstheme="minorHAnsi"/>
                <w:color w:val="000000"/>
                <w:sz w:val="16"/>
                <w:szCs w:val="16"/>
              </w:rPr>
              <w:t>Jelenią Górą, będąca skutkiem postępującego procesu metropolizacji w regionie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pogłębiający się proces depopulacji</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ujemny przyrost naturalny i ujemne saldo migracji obserwowane w większości gmin</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 poziom zubożenia mieszkańców</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niedobór polskich firm o ugruntowanej pozycji rynkowej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wysokie bezrobocie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 xml:space="preserve">relatywnie wysoki udział bezrobotnych długotrwale w strukturze osób pozostających bez pracy </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zdekapitalizowana sieć dróg i połączeń kolejowych</w:t>
            </w:r>
          </w:p>
          <w:p w:rsidR="00372CC3" w:rsidRPr="006325E3" w:rsidRDefault="00372CC3"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trudna sytuacja społeczno-ekonomiczna miast średnich i małych</w:t>
            </w:r>
          </w:p>
        </w:tc>
      </w:tr>
      <w:tr w:rsidR="009A0B6F" w:rsidRPr="006325E3" w:rsidTr="004F75D9">
        <w:tc>
          <w:tcPr>
            <w:tcW w:w="1418" w:type="dxa"/>
            <w:shd w:val="clear" w:color="auto" w:fill="D9D9D9"/>
          </w:tcPr>
          <w:p w:rsidR="009A0B6F" w:rsidRPr="006325E3" w:rsidRDefault="009A0B6F" w:rsidP="00FD0968">
            <w:pPr>
              <w:spacing w:before="40" w:after="40" w:line="288" w:lineRule="auto"/>
              <w:jc w:val="center"/>
              <w:rPr>
                <w:rFonts w:asciiTheme="minorHAnsi" w:hAnsiTheme="minorHAnsi" w:cstheme="minorHAnsi"/>
                <w:b/>
                <w:color w:val="000000"/>
                <w:sz w:val="16"/>
                <w:szCs w:val="16"/>
              </w:rPr>
            </w:pPr>
            <w:r w:rsidRPr="006325E3">
              <w:rPr>
                <w:rFonts w:asciiTheme="minorHAnsi" w:hAnsiTheme="minorHAnsi" w:cstheme="minorHAnsi"/>
                <w:b/>
                <w:color w:val="000000"/>
                <w:sz w:val="16"/>
                <w:szCs w:val="16"/>
              </w:rPr>
              <w:t>legnicko-głogowski</w:t>
            </w:r>
          </w:p>
        </w:tc>
        <w:tc>
          <w:tcPr>
            <w:tcW w:w="3752" w:type="dxa"/>
            <w:shd w:val="clear" w:color="auto" w:fill="D9D9D9"/>
          </w:tcPr>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zasoby bogactw naturalnych umożliwiające rozwój działalności wydobywczej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zasoby siły roboczej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wsparcie oferowane przez IOB</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potencjał KGHM stanowiący dobre podłoże do wprowadzania in</w:t>
            </w:r>
            <w:r w:rsidR="00AD0DB4" w:rsidRPr="006325E3">
              <w:rPr>
                <w:rFonts w:asciiTheme="minorHAnsi" w:hAnsiTheme="minorHAnsi" w:cstheme="minorHAnsi"/>
                <w:color w:val="000000"/>
                <w:sz w:val="16"/>
                <w:szCs w:val="16"/>
              </w:rPr>
              <w:t>nowacyjności technologicznych i </w:t>
            </w:r>
            <w:r w:rsidRPr="006325E3">
              <w:rPr>
                <w:rFonts w:asciiTheme="minorHAnsi" w:hAnsiTheme="minorHAnsi" w:cstheme="minorHAnsi"/>
                <w:color w:val="000000"/>
                <w:sz w:val="16"/>
                <w:szCs w:val="16"/>
              </w:rPr>
              <w:t>materiałowych, rozwoju eksportu</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Legnicko-Głogowski Okręg Miedziowy – silny ośrodek gospodarczy</w:t>
            </w:r>
          </w:p>
          <w:p w:rsidR="009A0B6F" w:rsidRPr="006325E3" w:rsidRDefault="009A0B6F" w:rsidP="00FD0968">
            <w:pPr>
              <w:autoSpaceDE w:val="0"/>
              <w:autoSpaceDN w:val="0"/>
              <w:adjustRightInd w:val="0"/>
              <w:spacing w:after="0" w:line="288" w:lineRule="auto"/>
              <w:rPr>
                <w:rFonts w:asciiTheme="minorHAnsi" w:hAnsiTheme="minorHAnsi" w:cstheme="minorHAnsi"/>
                <w:color w:val="000000"/>
                <w:sz w:val="16"/>
                <w:szCs w:val="16"/>
              </w:rPr>
            </w:pPr>
          </w:p>
          <w:p w:rsidR="009A0B6F" w:rsidRPr="006325E3" w:rsidRDefault="009A0B6F" w:rsidP="00FD0968">
            <w:pPr>
              <w:pStyle w:val="Akapitzlist"/>
              <w:autoSpaceDE w:val="0"/>
              <w:autoSpaceDN w:val="0"/>
              <w:adjustRightInd w:val="0"/>
              <w:spacing w:after="0" w:line="288" w:lineRule="auto"/>
              <w:ind w:left="175"/>
              <w:contextualSpacing w:val="0"/>
              <w:rPr>
                <w:rFonts w:asciiTheme="minorHAnsi" w:hAnsiTheme="minorHAnsi" w:cstheme="minorHAnsi"/>
                <w:color w:val="000000"/>
                <w:sz w:val="16"/>
                <w:szCs w:val="16"/>
              </w:rPr>
            </w:pPr>
          </w:p>
        </w:tc>
        <w:tc>
          <w:tcPr>
            <w:tcW w:w="3918" w:type="dxa"/>
            <w:shd w:val="clear" w:color="auto" w:fill="D9D9D9"/>
          </w:tcPr>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 poziom zanieczyszczenia powietrza i degradacji środowiska naturalnego</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konflikty przestr</w:t>
            </w:r>
            <w:r w:rsidR="00AD0DB4" w:rsidRPr="006325E3">
              <w:rPr>
                <w:rFonts w:asciiTheme="minorHAnsi" w:hAnsiTheme="minorHAnsi" w:cstheme="minorHAnsi"/>
                <w:color w:val="000000"/>
                <w:sz w:val="16"/>
                <w:szCs w:val="16"/>
              </w:rPr>
              <w:t>zenne i środowiskowe związane z </w:t>
            </w:r>
            <w:r w:rsidRPr="006325E3">
              <w:rPr>
                <w:rFonts w:asciiTheme="minorHAnsi" w:hAnsiTheme="minorHAnsi" w:cstheme="minorHAnsi"/>
                <w:color w:val="000000"/>
                <w:sz w:val="16"/>
                <w:szCs w:val="16"/>
              </w:rPr>
              <w:t>presją inwestycyjną na obszary zalewowe oraz realizacją inwestycji infrastrukturalnych na terenach cennych przyrodniczo lub w</w:t>
            </w:r>
            <w:r w:rsidR="00D92D62" w:rsidRPr="006325E3">
              <w:rPr>
                <w:rFonts w:asciiTheme="minorHAnsi" w:hAnsiTheme="minorHAnsi" w:cstheme="minorHAnsi"/>
                <w:color w:val="000000"/>
                <w:sz w:val="16"/>
                <w:szCs w:val="16"/>
              </w:rPr>
              <w:t> </w:t>
            </w:r>
            <w:r w:rsidRPr="006325E3">
              <w:rPr>
                <w:rFonts w:asciiTheme="minorHAnsi" w:hAnsiTheme="minorHAnsi" w:cstheme="minorHAnsi"/>
                <w:color w:val="000000"/>
                <w:sz w:val="16"/>
                <w:szCs w:val="16"/>
              </w:rPr>
              <w:t>ich sąsiedztwie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 xml:space="preserve">procesy niekontrolowanej </w:t>
            </w:r>
            <w:proofErr w:type="spellStart"/>
            <w:r w:rsidRPr="006325E3">
              <w:rPr>
                <w:rFonts w:asciiTheme="minorHAnsi" w:hAnsiTheme="minorHAnsi" w:cstheme="minorHAnsi"/>
                <w:color w:val="000000"/>
                <w:sz w:val="16"/>
                <w:szCs w:val="16"/>
              </w:rPr>
              <w:t>suburbanizacji</w:t>
            </w:r>
            <w:proofErr w:type="spellEnd"/>
            <w:r w:rsidRPr="006325E3">
              <w:rPr>
                <w:rFonts w:asciiTheme="minorHAnsi" w:hAnsiTheme="minorHAnsi" w:cstheme="minorHAnsi"/>
                <w:color w:val="000000"/>
                <w:sz w:val="16"/>
                <w:szCs w:val="16"/>
              </w:rPr>
              <w:t xml:space="preserve">, w obszarze Legnicy </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zdegradowana i zdekapitalizowana tkanka miejska - potrzeba rewitalizacji miast</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niski poziom aktywn</w:t>
            </w:r>
            <w:r w:rsidR="00AD0DB4" w:rsidRPr="006325E3">
              <w:rPr>
                <w:rFonts w:asciiTheme="minorHAnsi" w:hAnsiTheme="minorHAnsi" w:cstheme="minorHAnsi"/>
                <w:color w:val="000000"/>
                <w:sz w:val="16"/>
                <w:szCs w:val="16"/>
              </w:rPr>
              <w:t>ości gospodarczej mieszkańców i </w:t>
            </w:r>
            <w:r w:rsidRPr="006325E3">
              <w:rPr>
                <w:rFonts w:asciiTheme="minorHAnsi" w:hAnsiTheme="minorHAnsi" w:cstheme="minorHAnsi"/>
                <w:color w:val="000000"/>
                <w:sz w:val="16"/>
                <w:szCs w:val="16"/>
              </w:rPr>
              <w:t>kwalifikacji pracowników</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wysokie bezrobocie w północnej części obszaru</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najwyższy w skali regionu wzrost liczby długotrwale bezrobotnych</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zdekapitalizowana sieć dróg i połączeń kolejowych</w:t>
            </w:r>
          </w:p>
        </w:tc>
      </w:tr>
      <w:tr w:rsidR="009A0B6F" w:rsidRPr="006325E3" w:rsidTr="004F75D9">
        <w:tc>
          <w:tcPr>
            <w:tcW w:w="1418" w:type="dxa"/>
            <w:shd w:val="clear" w:color="auto" w:fill="D9D9D9"/>
          </w:tcPr>
          <w:p w:rsidR="009A0B6F" w:rsidRPr="006325E3" w:rsidRDefault="009A0B6F" w:rsidP="00FD0968">
            <w:pPr>
              <w:spacing w:before="40" w:after="40" w:line="288" w:lineRule="auto"/>
              <w:jc w:val="center"/>
              <w:rPr>
                <w:rFonts w:asciiTheme="minorHAnsi" w:hAnsiTheme="minorHAnsi" w:cstheme="minorHAnsi"/>
                <w:b/>
                <w:color w:val="000000"/>
                <w:sz w:val="16"/>
                <w:szCs w:val="16"/>
              </w:rPr>
            </w:pPr>
            <w:r w:rsidRPr="006325E3">
              <w:rPr>
                <w:rFonts w:asciiTheme="minorHAnsi" w:hAnsiTheme="minorHAnsi" w:cstheme="minorHAnsi"/>
                <w:b/>
                <w:color w:val="000000"/>
                <w:sz w:val="16"/>
                <w:szCs w:val="16"/>
              </w:rPr>
              <w:t>wałbrzyski</w:t>
            </w:r>
          </w:p>
        </w:tc>
        <w:tc>
          <w:tcPr>
            <w:tcW w:w="3752" w:type="dxa"/>
            <w:shd w:val="clear" w:color="auto" w:fill="D9D9D9"/>
          </w:tcPr>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 xml:space="preserve">rozbudowana oferta kulturalna i turystyczna </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wysoka atrakcyjność turystyczna obszaru oraz duży potencjał rozwojowy turystyki, oparte o silną całoroczną bazę u</w:t>
            </w:r>
            <w:r w:rsidR="00AD0DB4" w:rsidRPr="006325E3">
              <w:rPr>
                <w:rFonts w:asciiTheme="minorHAnsi" w:hAnsiTheme="minorHAnsi" w:cstheme="minorHAnsi"/>
                <w:color w:val="000000"/>
                <w:sz w:val="16"/>
                <w:szCs w:val="16"/>
              </w:rPr>
              <w:t>zdrowiskową i wypoczynkową oraz </w:t>
            </w:r>
            <w:r w:rsidRPr="006325E3">
              <w:rPr>
                <w:rFonts w:asciiTheme="minorHAnsi" w:hAnsiTheme="minorHAnsi" w:cstheme="minorHAnsi"/>
                <w:color w:val="000000"/>
                <w:sz w:val="16"/>
                <w:szCs w:val="16"/>
              </w:rPr>
              <w:t>dużą różnorodność profili leczniczych dolnośląskich uzdrowisk</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lastRenderedPageBreak/>
              <w:t>wsparcie oferowane przez IOB</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renta położenia, predestynująca obszar do rozwijania współpracy transgranicznej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zawiązanie porozumienia ZIT w Wałbrzyskim Obszarze Funkcjonalnym</w:t>
            </w:r>
          </w:p>
        </w:tc>
        <w:tc>
          <w:tcPr>
            <w:tcW w:w="3918" w:type="dxa"/>
            <w:shd w:val="clear" w:color="auto" w:fill="D9D9D9"/>
          </w:tcPr>
          <w:p w:rsidR="00372CC3" w:rsidRPr="006325E3" w:rsidRDefault="00372CC3"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lastRenderedPageBreak/>
              <w:t xml:space="preserve">wykluczenie komunikacyjne </w:t>
            </w:r>
            <w:r w:rsidR="00276777" w:rsidRPr="006325E3">
              <w:rPr>
                <w:rFonts w:asciiTheme="minorHAnsi" w:hAnsiTheme="minorHAnsi" w:cstheme="minorHAnsi"/>
                <w:color w:val="000000"/>
                <w:sz w:val="16"/>
                <w:szCs w:val="16"/>
              </w:rPr>
              <w:t>sub</w:t>
            </w:r>
            <w:r w:rsidRPr="006325E3">
              <w:rPr>
                <w:rFonts w:asciiTheme="minorHAnsi" w:hAnsiTheme="minorHAnsi" w:cstheme="minorHAnsi"/>
                <w:color w:val="000000"/>
                <w:sz w:val="16"/>
                <w:szCs w:val="16"/>
              </w:rPr>
              <w:t xml:space="preserve">regionu (szczególnie </w:t>
            </w:r>
            <w:r w:rsidR="009435B0" w:rsidRPr="006325E3">
              <w:rPr>
                <w:rFonts w:asciiTheme="minorHAnsi" w:hAnsiTheme="minorHAnsi" w:cstheme="minorHAnsi"/>
                <w:color w:val="000000"/>
                <w:sz w:val="16"/>
                <w:szCs w:val="16"/>
              </w:rPr>
              <w:t>Ziemi</w:t>
            </w:r>
            <w:r w:rsidRPr="006325E3">
              <w:rPr>
                <w:rFonts w:asciiTheme="minorHAnsi" w:hAnsiTheme="minorHAnsi" w:cstheme="minorHAnsi"/>
                <w:color w:val="000000"/>
                <w:sz w:val="16"/>
                <w:szCs w:val="16"/>
              </w:rPr>
              <w:t xml:space="preserve"> Kłodzkiej),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 poziom zanieczyszczenia powietrza i degradacji środowiska naturalnego</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konflikty przestr</w:t>
            </w:r>
            <w:r w:rsidR="00AD0DB4" w:rsidRPr="006325E3">
              <w:rPr>
                <w:rFonts w:asciiTheme="minorHAnsi" w:hAnsiTheme="minorHAnsi" w:cstheme="minorHAnsi"/>
                <w:color w:val="000000"/>
                <w:sz w:val="16"/>
                <w:szCs w:val="16"/>
              </w:rPr>
              <w:t>zenne i środowiskowe związane z </w:t>
            </w:r>
            <w:r w:rsidRPr="006325E3">
              <w:rPr>
                <w:rFonts w:asciiTheme="minorHAnsi" w:hAnsiTheme="minorHAnsi" w:cstheme="minorHAnsi"/>
                <w:color w:val="000000"/>
                <w:sz w:val="16"/>
                <w:szCs w:val="16"/>
              </w:rPr>
              <w:t>presją inwest</w:t>
            </w:r>
            <w:r w:rsidR="00AD0DB4" w:rsidRPr="006325E3">
              <w:rPr>
                <w:rFonts w:asciiTheme="minorHAnsi" w:hAnsiTheme="minorHAnsi" w:cstheme="minorHAnsi"/>
                <w:color w:val="000000"/>
                <w:sz w:val="16"/>
                <w:szCs w:val="16"/>
              </w:rPr>
              <w:t xml:space="preserve">ycyjną na obszary zalewowe </w:t>
            </w:r>
            <w:r w:rsidR="00AD0DB4" w:rsidRPr="006325E3">
              <w:rPr>
                <w:rFonts w:asciiTheme="minorHAnsi" w:hAnsiTheme="minorHAnsi" w:cstheme="minorHAnsi"/>
                <w:color w:val="000000"/>
                <w:sz w:val="16"/>
                <w:szCs w:val="16"/>
              </w:rPr>
              <w:lastRenderedPageBreak/>
              <w:t>oraz </w:t>
            </w:r>
            <w:r w:rsidRPr="006325E3">
              <w:rPr>
                <w:rFonts w:asciiTheme="minorHAnsi" w:hAnsiTheme="minorHAnsi" w:cstheme="minorHAnsi"/>
                <w:color w:val="000000"/>
                <w:sz w:val="16"/>
                <w:szCs w:val="16"/>
              </w:rPr>
              <w:t>realizacją inwestycji infras</w:t>
            </w:r>
            <w:r w:rsidR="00AD0DB4" w:rsidRPr="006325E3">
              <w:rPr>
                <w:rFonts w:asciiTheme="minorHAnsi" w:hAnsiTheme="minorHAnsi" w:cstheme="minorHAnsi"/>
                <w:color w:val="000000"/>
                <w:sz w:val="16"/>
                <w:szCs w:val="16"/>
              </w:rPr>
              <w:t>trukturalnych na </w:t>
            </w:r>
            <w:r w:rsidRPr="006325E3">
              <w:rPr>
                <w:rFonts w:asciiTheme="minorHAnsi" w:hAnsiTheme="minorHAnsi" w:cstheme="minorHAnsi"/>
                <w:color w:val="000000"/>
                <w:sz w:val="16"/>
                <w:szCs w:val="16"/>
              </w:rPr>
              <w:t>terenach cennych przyrodniczo lub w</w:t>
            </w:r>
            <w:r w:rsidR="00D92D62" w:rsidRPr="006325E3">
              <w:rPr>
                <w:rFonts w:asciiTheme="minorHAnsi" w:hAnsiTheme="minorHAnsi" w:cstheme="minorHAnsi"/>
                <w:color w:val="000000"/>
                <w:sz w:val="16"/>
                <w:szCs w:val="16"/>
              </w:rPr>
              <w:t> </w:t>
            </w:r>
            <w:r w:rsidRPr="006325E3">
              <w:rPr>
                <w:rFonts w:asciiTheme="minorHAnsi" w:hAnsiTheme="minorHAnsi" w:cstheme="minorHAnsi"/>
                <w:color w:val="000000"/>
                <w:sz w:val="16"/>
                <w:szCs w:val="16"/>
              </w:rPr>
              <w:t>ich sąsiedztwie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zdegradowana i zdekapitalizowana tkanka miejska - potrzeba rewitalizacji miast</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pogłębiająca się dyspropor</w:t>
            </w:r>
            <w:r w:rsidR="00920B1D" w:rsidRPr="006325E3">
              <w:rPr>
                <w:rFonts w:asciiTheme="minorHAnsi" w:hAnsiTheme="minorHAnsi" w:cstheme="minorHAnsi"/>
                <w:color w:val="000000"/>
                <w:sz w:val="16"/>
                <w:szCs w:val="16"/>
              </w:rPr>
              <w:t>cja rozwoju między Wrocławiem a </w:t>
            </w:r>
            <w:r w:rsidRPr="006325E3">
              <w:rPr>
                <w:rFonts w:asciiTheme="minorHAnsi" w:hAnsiTheme="minorHAnsi" w:cstheme="minorHAnsi"/>
                <w:color w:val="000000"/>
                <w:sz w:val="16"/>
                <w:szCs w:val="16"/>
              </w:rPr>
              <w:t>Wałbrzychem, będąca skutkiem postępującego procesu metropolizacji w regionie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pogłębiający się proces depopulacji</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ujemny przyrost naturalny i ujemne saldo migracji obserwowane w większości gmin</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niski poziom aktywn</w:t>
            </w:r>
            <w:r w:rsidR="00AD0DB4" w:rsidRPr="006325E3">
              <w:rPr>
                <w:rFonts w:asciiTheme="minorHAnsi" w:hAnsiTheme="minorHAnsi" w:cstheme="minorHAnsi"/>
                <w:color w:val="000000"/>
                <w:sz w:val="16"/>
                <w:szCs w:val="16"/>
              </w:rPr>
              <w:t>ości gospodarczej mieszkańców i </w:t>
            </w:r>
            <w:r w:rsidRPr="006325E3">
              <w:rPr>
                <w:rFonts w:asciiTheme="minorHAnsi" w:hAnsiTheme="minorHAnsi" w:cstheme="minorHAnsi"/>
                <w:color w:val="000000"/>
                <w:sz w:val="16"/>
                <w:szCs w:val="16"/>
              </w:rPr>
              <w:t>kwalifikacji pracowników</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wysokie bezrobocie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duża konkurencja firm z kapitałem zagranicznym</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zdekapitalizowana sieć dróg i połączeń kolejowych</w:t>
            </w:r>
          </w:p>
          <w:p w:rsidR="00372CC3" w:rsidRPr="006325E3" w:rsidRDefault="00372CC3" w:rsidP="00372CC3">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trudna sytuacja społeczno-ekonomiczna miast średnich i małych</w:t>
            </w:r>
          </w:p>
        </w:tc>
      </w:tr>
      <w:tr w:rsidR="009A0B6F" w:rsidRPr="006325E3" w:rsidTr="004F75D9">
        <w:tc>
          <w:tcPr>
            <w:tcW w:w="1418" w:type="dxa"/>
            <w:shd w:val="clear" w:color="auto" w:fill="D9D9D9"/>
          </w:tcPr>
          <w:p w:rsidR="009A0B6F" w:rsidRPr="006325E3" w:rsidRDefault="009A0B6F" w:rsidP="00FD0968">
            <w:pPr>
              <w:spacing w:before="40" w:after="40" w:line="288" w:lineRule="auto"/>
              <w:jc w:val="center"/>
              <w:rPr>
                <w:rFonts w:asciiTheme="minorHAnsi" w:hAnsiTheme="minorHAnsi" w:cstheme="minorHAnsi"/>
                <w:b/>
                <w:color w:val="000000"/>
                <w:sz w:val="16"/>
                <w:szCs w:val="16"/>
              </w:rPr>
            </w:pPr>
            <w:r w:rsidRPr="006325E3">
              <w:rPr>
                <w:rFonts w:asciiTheme="minorHAnsi" w:hAnsiTheme="minorHAnsi" w:cstheme="minorHAnsi"/>
                <w:b/>
                <w:color w:val="000000"/>
                <w:sz w:val="16"/>
                <w:szCs w:val="16"/>
              </w:rPr>
              <w:lastRenderedPageBreak/>
              <w:t>wrocławski</w:t>
            </w:r>
          </w:p>
        </w:tc>
        <w:tc>
          <w:tcPr>
            <w:tcW w:w="3752" w:type="dxa"/>
            <w:shd w:val="clear" w:color="auto" w:fill="D9D9D9"/>
          </w:tcPr>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zasoby przyrodnicze i rozwój upraw rolnych, leśnych oraz rybactwo umożliwiające prowadzen</w:t>
            </w:r>
            <w:r w:rsidR="00E71DD2" w:rsidRPr="006325E3">
              <w:rPr>
                <w:rFonts w:asciiTheme="minorHAnsi" w:hAnsiTheme="minorHAnsi" w:cstheme="minorHAnsi"/>
                <w:color w:val="000000"/>
                <w:sz w:val="16"/>
                <w:szCs w:val="16"/>
              </w:rPr>
              <w:t xml:space="preserve">ie i rozwój przetwórstwa </w:t>
            </w:r>
            <w:r w:rsidRPr="006325E3">
              <w:rPr>
                <w:rFonts w:asciiTheme="minorHAnsi" w:hAnsiTheme="minorHAnsi" w:cstheme="minorHAnsi"/>
                <w:color w:val="000000"/>
                <w:sz w:val="16"/>
                <w:szCs w:val="16"/>
              </w:rPr>
              <w:t>rolno-spożywczego, farmaceutycznego i opartego o zasoby leśne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dynamiczny rozwój demograficzny</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dodatni przyrost naturalny i dodatnie saldo migracji obserwowane w większości gmin</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względnie wysoki udział dzieci objętych opieką w żłobkach</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relatywnie niska liczba dzieci w wieku 3-5 lat przypadających na 1 miejsce w placówce wychowania przedszkolnego</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zasoby siły roboczej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zawiązanie porozumienia ZIT we Wrocławskim Obszarze Funkcjonalnym</w:t>
            </w:r>
          </w:p>
        </w:tc>
        <w:tc>
          <w:tcPr>
            <w:tcW w:w="3918" w:type="dxa"/>
            <w:shd w:val="clear" w:color="auto" w:fill="D9D9D9"/>
          </w:tcPr>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 poziom zanieczyszczenia powietrza</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duże zagrożenie powodziowe ze względu na uwarunkowania naturalne, niewystarczający system ochrony przeciwpowodziowej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wzrost udziału terenów zurbanizowanych i zabudowanych w gminach sąsiadujących z Wrocławiem, kosztem przestrzeni rolniczej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konflikty przestr</w:t>
            </w:r>
            <w:r w:rsidR="00AD0DB4" w:rsidRPr="006325E3">
              <w:rPr>
                <w:rFonts w:asciiTheme="minorHAnsi" w:hAnsiTheme="minorHAnsi" w:cstheme="minorHAnsi"/>
                <w:color w:val="000000"/>
                <w:sz w:val="16"/>
                <w:szCs w:val="16"/>
              </w:rPr>
              <w:t>zenne i środowiskowe związane z </w:t>
            </w:r>
            <w:r w:rsidRPr="006325E3">
              <w:rPr>
                <w:rFonts w:asciiTheme="minorHAnsi" w:hAnsiTheme="minorHAnsi" w:cstheme="minorHAnsi"/>
                <w:color w:val="000000"/>
                <w:sz w:val="16"/>
                <w:szCs w:val="16"/>
              </w:rPr>
              <w:t>presją inwest</w:t>
            </w:r>
            <w:r w:rsidR="00AD0DB4" w:rsidRPr="006325E3">
              <w:rPr>
                <w:rFonts w:asciiTheme="minorHAnsi" w:hAnsiTheme="minorHAnsi" w:cstheme="minorHAnsi"/>
                <w:color w:val="000000"/>
                <w:sz w:val="16"/>
                <w:szCs w:val="16"/>
              </w:rPr>
              <w:t>ycyjną na obszary zalewowe oraz </w:t>
            </w:r>
            <w:r w:rsidRPr="006325E3">
              <w:rPr>
                <w:rFonts w:asciiTheme="minorHAnsi" w:hAnsiTheme="minorHAnsi" w:cstheme="minorHAnsi"/>
                <w:color w:val="000000"/>
                <w:sz w:val="16"/>
                <w:szCs w:val="16"/>
              </w:rPr>
              <w:t>realizacją in</w:t>
            </w:r>
            <w:r w:rsidR="00AD0DB4" w:rsidRPr="006325E3">
              <w:rPr>
                <w:rFonts w:asciiTheme="minorHAnsi" w:hAnsiTheme="minorHAnsi" w:cstheme="minorHAnsi"/>
                <w:color w:val="000000"/>
                <w:sz w:val="16"/>
                <w:szCs w:val="16"/>
              </w:rPr>
              <w:t>westycji infrastrukturalnych na </w:t>
            </w:r>
            <w:r w:rsidRPr="006325E3">
              <w:rPr>
                <w:rFonts w:asciiTheme="minorHAnsi" w:hAnsiTheme="minorHAnsi" w:cstheme="minorHAnsi"/>
                <w:color w:val="000000"/>
                <w:sz w:val="16"/>
                <w:szCs w:val="16"/>
              </w:rPr>
              <w:t>terenach cennych przyrodniczo lub w</w:t>
            </w:r>
            <w:r w:rsidR="002050A7" w:rsidRPr="006325E3">
              <w:rPr>
                <w:rFonts w:asciiTheme="minorHAnsi" w:hAnsiTheme="minorHAnsi" w:cstheme="minorHAnsi"/>
                <w:color w:val="000000"/>
                <w:sz w:val="16"/>
                <w:szCs w:val="16"/>
              </w:rPr>
              <w:t xml:space="preserve"> </w:t>
            </w:r>
            <w:r w:rsidRPr="006325E3">
              <w:rPr>
                <w:rFonts w:asciiTheme="minorHAnsi" w:hAnsiTheme="minorHAnsi" w:cstheme="minorHAnsi"/>
                <w:color w:val="000000"/>
                <w:sz w:val="16"/>
                <w:szCs w:val="16"/>
              </w:rPr>
              <w:t>ich sąsiedztwie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 xml:space="preserve">procesy niekontrolowanej </w:t>
            </w:r>
            <w:proofErr w:type="spellStart"/>
            <w:r w:rsidRPr="006325E3">
              <w:rPr>
                <w:rFonts w:asciiTheme="minorHAnsi" w:hAnsiTheme="minorHAnsi" w:cstheme="minorHAnsi"/>
                <w:color w:val="000000"/>
                <w:sz w:val="16"/>
                <w:szCs w:val="16"/>
              </w:rPr>
              <w:t>suburbanizacji</w:t>
            </w:r>
            <w:proofErr w:type="spellEnd"/>
            <w:r w:rsidRPr="006325E3">
              <w:rPr>
                <w:rFonts w:asciiTheme="minorHAnsi" w:hAnsiTheme="minorHAnsi" w:cstheme="minorHAnsi"/>
                <w:color w:val="000000"/>
                <w:sz w:val="16"/>
                <w:szCs w:val="16"/>
              </w:rPr>
              <w:t xml:space="preserve"> w obszarze metropolitalnym Wrocławia</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słabe wsparcie oferowane przez IOB</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niedobór polskich firm o ugruntowanej pozycji rynkowej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zdekapitalizowana sieć połączeń kolejowych</w:t>
            </w:r>
          </w:p>
        </w:tc>
      </w:tr>
      <w:tr w:rsidR="009A0B6F" w:rsidRPr="006325E3" w:rsidTr="004F75D9">
        <w:tc>
          <w:tcPr>
            <w:tcW w:w="1418" w:type="dxa"/>
            <w:shd w:val="clear" w:color="auto" w:fill="D9D9D9"/>
          </w:tcPr>
          <w:p w:rsidR="009A0B6F" w:rsidRPr="006325E3" w:rsidRDefault="009A0B6F" w:rsidP="00FD0968">
            <w:pPr>
              <w:spacing w:before="40" w:after="40" w:line="288" w:lineRule="auto"/>
              <w:jc w:val="center"/>
              <w:rPr>
                <w:rFonts w:asciiTheme="minorHAnsi" w:hAnsiTheme="minorHAnsi" w:cstheme="minorHAnsi"/>
                <w:b/>
                <w:color w:val="000000"/>
                <w:sz w:val="16"/>
                <w:szCs w:val="16"/>
              </w:rPr>
            </w:pPr>
            <w:r w:rsidRPr="006325E3">
              <w:rPr>
                <w:rFonts w:asciiTheme="minorHAnsi" w:hAnsiTheme="minorHAnsi" w:cstheme="minorHAnsi"/>
                <w:b/>
                <w:color w:val="000000"/>
                <w:sz w:val="16"/>
                <w:szCs w:val="16"/>
              </w:rPr>
              <w:t>m. Wrocław</w:t>
            </w:r>
          </w:p>
        </w:tc>
        <w:tc>
          <w:tcPr>
            <w:tcW w:w="3752" w:type="dxa"/>
            <w:shd w:val="clear" w:color="auto" w:fill="D9D9D9"/>
          </w:tcPr>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rozbudowana oferta kulturalna i turystyczna</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względnie wysoki udział dzieci objętych opieką w żłobkach</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relatywnie niska liczba dzieci w wieku 3-5 lat przypadających na 1 miejsce w placówce wychowania przedszkolnego</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szerokie możliwości kształcenia i przygotowania zawodowego kapitału ludzkiego</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silne wsparcie oferowane przez IOB i rozwinięty sektor usług rynkowych</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 poziom aktywności gospodarczej mieszkańców i zaangażowania w sprawy obywatelskie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niskie bezrobocie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 potencjał atrakcyjności inwestycyjnej,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Wrocław − rozwijający się ośrodek metropolitalny</w:t>
            </w:r>
          </w:p>
        </w:tc>
        <w:tc>
          <w:tcPr>
            <w:tcW w:w="3918" w:type="dxa"/>
            <w:shd w:val="clear" w:color="auto" w:fill="D9D9D9"/>
          </w:tcPr>
          <w:p w:rsidR="00035B17" w:rsidRPr="006325E3" w:rsidRDefault="00035B17"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 poziom zanieczyszczenia powietrza</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duże zagrożenie powodziowe ze względu na uwarunkowania naturalne, niewystarczający system ochrony przeciwpowodziowej</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konflikty przestr</w:t>
            </w:r>
            <w:r w:rsidR="00AD0DB4" w:rsidRPr="006325E3">
              <w:rPr>
                <w:rFonts w:asciiTheme="minorHAnsi" w:hAnsiTheme="minorHAnsi" w:cstheme="minorHAnsi"/>
                <w:color w:val="000000"/>
                <w:sz w:val="16"/>
                <w:szCs w:val="16"/>
              </w:rPr>
              <w:t>zenne i środowiskowe związane z </w:t>
            </w:r>
            <w:r w:rsidRPr="006325E3">
              <w:rPr>
                <w:rFonts w:asciiTheme="minorHAnsi" w:hAnsiTheme="minorHAnsi" w:cstheme="minorHAnsi"/>
                <w:color w:val="000000"/>
                <w:sz w:val="16"/>
                <w:szCs w:val="16"/>
              </w:rPr>
              <w:t>presją inwest</w:t>
            </w:r>
            <w:r w:rsidR="00AD0DB4" w:rsidRPr="006325E3">
              <w:rPr>
                <w:rFonts w:asciiTheme="minorHAnsi" w:hAnsiTheme="minorHAnsi" w:cstheme="minorHAnsi"/>
                <w:color w:val="000000"/>
                <w:sz w:val="16"/>
                <w:szCs w:val="16"/>
              </w:rPr>
              <w:t>ycyjną na obszary zalewowe oraz </w:t>
            </w:r>
            <w:r w:rsidRPr="006325E3">
              <w:rPr>
                <w:rFonts w:asciiTheme="minorHAnsi" w:hAnsiTheme="minorHAnsi" w:cstheme="minorHAnsi"/>
                <w:color w:val="000000"/>
                <w:sz w:val="16"/>
                <w:szCs w:val="16"/>
              </w:rPr>
              <w:t>realizacją in</w:t>
            </w:r>
            <w:r w:rsidR="00AD0DB4" w:rsidRPr="006325E3">
              <w:rPr>
                <w:rFonts w:asciiTheme="minorHAnsi" w:hAnsiTheme="minorHAnsi" w:cstheme="minorHAnsi"/>
                <w:color w:val="000000"/>
                <w:sz w:val="16"/>
                <w:szCs w:val="16"/>
              </w:rPr>
              <w:t>westycji infrastrukturalnych na </w:t>
            </w:r>
            <w:r w:rsidRPr="006325E3">
              <w:rPr>
                <w:rFonts w:asciiTheme="minorHAnsi" w:hAnsiTheme="minorHAnsi" w:cstheme="minorHAnsi"/>
                <w:color w:val="000000"/>
                <w:sz w:val="16"/>
                <w:szCs w:val="16"/>
              </w:rPr>
              <w:t>terenach cennych przyrodniczo lub w</w:t>
            </w:r>
            <w:r w:rsidR="00D92D62" w:rsidRPr="006325E3">
              <w:rPr>
                <w:rFonts w:asciiTheme="minorHAnsi" w:hAnsiTheme="minorHAnsi" w:cstheme="minorHAnsi"/>
                <w:color w:val="000000"/>
                <w:sz w:val="16"/>
                <w:szCs w:val="16"/>
              </w:rPr>
              <w:t> </w:t>
            </w:r>
            <w:r w:rsidRPr="006325E3">
              <w:rPr>
                <w:rFonts w:asciiTheme="minorHAnsi" w:hAnsiTheme="minorHAnsi" w:cstheme="minorHAnsi"/>
                <w:color w:val="000000"/>
                <w:sz w:val="16"/>
                <w:szCs w:val="16"/>
              </w:rPr>
              <w:t>ich sąsiedztwie</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silna konkurencja, w tym firm z ugruntowaną pozycją rynkową oraz firm z kapitałem zagranicznym</w:t>
            </w:r>
          </w:p>
          <w:p w:rsidR="009A0B6F" w:rsidRPr="006325E3" w:rsidRDefault="009A0B6F" w:rsidP="00D92D62">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wysokie ceny gru</w:t>
            </w:r>
            <w:r w:rsidR="00AD0DB4" w:rsidRPr="006325E3">
              <w:rPr>
                <w:rFonts w:asciiTheme="minorHAnsi" w:hAnsiTheme="minorHAnsi" w:cstheme="minorHAnsi"/>
                <w:color w:val="000000"/>
                <w:sz w:val="16"/>
                <w:szCs w:val="16"/>
              </w:rPr>
              <w:t>ntów i lokali przeznaczonych na </w:t>
            </w:r>
            <w:r w:rsidRPr="006325E3">
              <w:rPr>
                <w:rFonts w:asciiTheme="minorHAnsi" w:hAnsiTheme="minorHAnsi" w:cstheme="minorHAnsi"/>
                <w:color w:val="000000"/>
                <w:sz w:val="16"/>
                <w:szCs w:val="16"/>
              </w:rPr>
              <w:t>prowadzenie działalności gospodarczej</w:t>
            </w:r>
          </w:p>
          <w:p w:rsidR="009A0B6F" w:rsidRPr="006325E3" w:rsidRDefault="009A0B6F" w:rsidP="006325E3">
            <w:pPr>
              <w:pStyle w:val="Akapitzlist"/>
              <w:numPr>
                <w:ilvl w:val="0"/>
                <w:numId w:val="52"/>
              </w:numPr>
              <w:autoSpaceDE w:val="0"/>
              <w:autoSpaceDN w:val="0"/>
              <w:adjustRightInd w:val="0"/>
              <w:spacing w:after="0" w:line="288" w:lineRule="auto"/>
              <w:ind w:left="175" w:hanging="175"/>
              <w:contextualSpacing w:val="0"/>
              <w:jc w:val="both"/>
              <w:rPr>
                <w:rFonts w:asciiTheme="minorHAnsi" w:hAnsiTheme="minorHAnsi" w:cstheme="minorHAnsi"/>
                <w:color w:val="000000"/>
                <w:sz w:val="16"/>
                <w:szCs w:val="16"/>
              </w:rPr>
            </w:pPr>
            <w:r w:rsidRPr="006325E3">
              <w:rPr>
                <w:rFonts w:asciiTheme="minorHAnsi" w:hAnsiTheme="minorHAnsi" w:cstheme="minorHAnsi"/>
                <w:color w:val="000000"/>
                <w:sz w:val="16"/>
                <w:szCs w:val="16"/>
              </w:rPr>
              <w:t>utrudniony proce</w:t>
            </w:r>
            <w:r w:rsidR="00AD0DB4" w:rsidRPr="006325E3">
              <w:rPr>
                <w:rFonts w:asciiTheme="minorHAnsi" w:hAnsiTheme="minorHAnsi" w:cstheme="minorHAnsi"/>
                <w:color w:val="000000"/>
                <w:sz w:val="16"/>
                <w:szCs w:val="16"/>
              </w:rPr>
              <w:t>s naboru pracowników związany z </w:t>
            </w:r>
            <w:r w:rsidRPr="006325E3">
              <w:rPr>
                <w:rFonts w:asciiTheme="minorHAnsi" w:hAnsiTheme="minorHAnsi" w:cstheme="minorHAnsi"/>
                <w:color w:val="000000"/>
                <w:sz w:val="16"/>
                <w:szCs w:val="16"/>
              </w:rPr>
              <w:t xml:space="preserve">postępującym procesem </w:t>
            </w:r>
            <w:proofErr w:type="spellStart"/>
            <w:r w:rsidRPr="006325E3">
              <w:rPr>
                <w:rFonts w:asciiTheme="minorHAnsi" w:hAnsiTheme="minorHAnsi" w:cstheme="minorHAnsi"/>
                <w:color w:val="000000"/>
                <w:sz w:val="16"/>
                <w:szCs w:val="16"/>
              </w:rPr>
              <w:t>suburbanizacji</w:t>
            </w:r>
            <w:proofErr w:type="spellEnd"/>
          </w:p>
        </w:tc>
      </w:tr>
    </w:tbl>
    <w:p w:rsidR="000A232D" w:rsidRPr="00AE35C1" w:rsidRDefault="000A232D" w:rsidP="005728D9">
      <w:pPr>
        <w:pStyle w:val="Nagwek1"/>
        <w:sectPr w:rsidR="000A232D" w:rsidRPr="00AE35C1" w:rsidSect="00E73C96">
          <w:headerReference w:type="even" r:id="rId79"/>
          <w:headerReference w:type="default" r:id="rId80"/>
          <w:footerReference w:type="default" r:id="rId81"/>
          <w:type w:val="continuous"/>
          <w:pgSz w:w="11906" w:h="16838"/>
          <w:pgMar w:top="1571" w:right="1276" w:bottom="1417" w:left="1417" w:header="708" w:footer="708" w:gutter="0"/>
          <w:cols w:space="454"/>
          <w:titlePg/>
          <w:docGrid w:linePitch="360"/>
        </w:sectPr>
      </w:pPr>
    </w:p>
    <w:p w:rsidR="008610F6" w:rsidRPr="00AE35C1" w:rsidRDefault="00F95DA5" w:rsidP="00B10A10">
      <w:pPr>
        <w:pStyle w:val="Nagwek1"/>
      </w:pPr>
      <w:bookmarkStart w:id="55" w:name="_Toc511716321"/>
      <w:r w:rsidRPr="00AE35C1">
        <w:lastRenderedPageBreak/>
        <w:t>2. SCENARIUSZE ROZWOJU REGIONU</w:t>
      </w:r>
      <w:bookmarkEnd w:id="55"/>
    </w:p>
    <w:p w:rsidR="008610F6" w:rsidRPr="00AE35C1" w:rsidRDefault="00C80E89" w:rsidP="005728D9">
      <w:pPr>
        <w:jc w:val="both"/>
        <w:rPr>
          <w:rFonts w:eastAsia="Times New Roman"/>
          <w:bCs/>
          <w:sz w:val="21"/>
          <w:szCs w:val="21"/>
          <w:lang w:eastAsia="pl-PL"/>
        </w:rPr>
      </w:pPr>
      <w:r w:rsidRPr="00AE35C1">
        <w:rPr>
          <w:rFonts w:eastAsia="Times New Roman"/>
          <w:bCs/>
          <w:sz w:val="21"/>
          <w:szCs w:val="21"/>
          <w:lang w:eastAsia="pl-PL"/>
        </w:rPr>
        <w:t xml:space="preserve">Możliwości przyszłego rozwoju regionu dolnośląskiego, jego subregionów, powiatów, miast i gmin związane są ściśle z wartością kapitału terytorialnego oraz umiejętnym i efektywnym jego wykorzystaniem. Uwzględniając złożoność tegoż kapitału, </w:t>
      </w:r>
      <w:r w:rsidRPr="00AE35C1">
        <w:rPr>
          <w:rFonts w:eastAsia="Times New Roman"/>
          <w:sz w:val="21"/>
          <w:szCs w:val="21"/>
          <w:lang w:eastAsia="pl-PL"/>
        </w:rPr>
        <w:t xml:space="preserve">zmiany jego wartości, </w:t>
      </w:r>
      <w:r w:rsidRPr="00AE35C1">
        <w:rPr>
          <w:rFonts w:eastAsia="Times New Roman"/>
          <w:bCs/>
          <w:sz w:val="21"/>
          <w:szCs w:val="21"/>
          <w:lang w:eastAsia="pl-PL"/>
        </w:rPr>
        <w:t xml:space="preserve">przestrzenne zróżnicowanie, zidentyfikowane rozwojowe problemy i zagrożenia, ich natężenie, a także możliwości </w:t>
      </w:r>
      <w:r w:rsidR="001704B1" w:rsidRPr="00AE35C1">
        <w:rPr>
          <w:rFonts w:eastAsia="Times New Roman"/>
          <w:bCs/>
          <w:sz w:val="21"/>
          <w:szCs w:val="21"/>
          <w:lang w:eastAsia="pl-PL"/>
        </w:rPr>
        <w:t> </w:t>
      </w:r>
      <w:r w:rsidRPr="00AE35C1">
        <w:rPr>
          <w:rFonts w:eastAsia="Times New Roman"/>
          <w:bCs/>
          <w:sz w:val="21"/>
          <w:szCs w:val="21"/>
          <w:lang w:eastAsia="pl-PL"/>
        </w:rPr>
        <w:t>i szanse rozwoju regionu dolnośląskiego w perspektywie roku 2030 określono trzy scenariusze:</w:t>
      </w:r>
    </w:p>
    <w:p w:rsidR="00C80E89" w:rsidRPr="00AE35C1" w:rsidRDefault="00C80E89" w:rsidP="00C80E89">
      <w:pPr>
        <w:pStyle w:val="Akapitzlist"/>
        <w:numPr>
          <w:ilvl w:val="0"/>
          <w:numId w:val="63"/>
        </w:numPr>
        <w:spacing w:after="120" w:line="360" w:lineRule="auto"/>
        <w:jc w:val="both"/>
        <w:rPr>
          <w:rFonts w:eastAsia="Times New Roman"/>
          <w:b/>
          <w:sz w:val="21"/>
          <w:szCs w:val="21"/>
          <w:lang w:eastAsia="pl-PL"/>
        </w:rPr>
      </w:pPr>
      <w:r w:rsidRPr="00AE35C1">
        <w:rPr>
          <w:rFonts w:eastAsia="Times New Roman"/>
          <w:b/>
          <w:sz w:val="21"/>
          <w:szCs w:val="21"/>
          <w:lang w:eastAsia="pl-PL"/>
        </w:rPr>
        <w:t>„</w:t>
      </w:r>
      <w:r w:rsidRPr="00AE35C1">
        <w:rPr>
          <w:b/>
          <w:sz w:val="21"/>
          <w:szCs w:val="21"/>
        </w:rPr>
        <w:t>DYNAMICZNA RÓWNOMIERNOŚĆ</w:t>
      </w:r>
      <w:r w:rsidRPr="00AE35C1">
        <w:rPr>
          <w:rFonts w:eastAsia="Times New Roman"/>
          <w:b/>
          <w:sz w:val="21"/>
          <w:szCs w:val="21"/>
          <w:lang w:eastAsia="pl-PL"/>
        </w:rPr>
        <w:t>”,</w:t>
      </w:r>
    </w:p>
    <w:p w:rsidR="00C80E89" w:rsidRPr="00AE35C1" w:rsidRDefault="00C80E89" w:rsidP="00324E63">
      <w:pPr>
        <w:pStyle w:val="Akapitzlist"/>
        <w:numPr>
          <w:ilvl w:val="0"/>
          <w:numId w:val="63"/>
        </w:numPr>
        <w:spacing w:after="120" w:line="360" w:lineRule="auto"/>
        <w:jc w:val="both"/>
        <w:rPr>
          <w:rFonts w:eastAsia="Times New Roman"/>
          <w:b/>
          <w:sz w:val="21"/>
          <w:szCs w:val="21"/>
          <w:lang w:eastAsia="pl-PL"/>
        </w:rPr>
      </w:pPr>
      <w:r w:rsidRPr="00AE35C1">
        <w:rPr>
          <w:rFonts w:eastAsia="Times New Roman"/>
          <w:b/>
          <w:sz w:val="21"/>
          <w:szCs w:val="21"/>
          <w:lang w:eastAsia="pl-PL"/>
        </w:rPr>
        <w:t>„M</w:t>
      </w:r>
      <w:r w:rsidRPr="00AE35C1">
        <w:rPr>
          <w:b/>
          <w:sz w:val="21"/>
          <w:szCs w:val="21"/>
        </w:rPr>
        <w:t>ETROPOLITALNA WYSPA</w:t>
      </w:r>
      <w:r w:rsidRPr="00AE35C1">
        <w:rPr>
          <w:rFonts w:eastAsia="Times New Roman"/>
          <w:b/>
          <w:sz w:val="21"/>
          <w:szCs w:val="21"/>
          <w:lang w:eastAsia="pl-PL"/>
        </w:rPr>
        <w:t>”,</w:t>
      </w:r>
    </w:p>
    <w:p w:rsidR="00C80E89" w:rsidRPr="00AE35C1" w:rsidRDefault="00C80E89" w:rsidP="00B10A10">
      <w:pPr>
        <w:pStyle w:val="Akapitzlist"/>
        <w:numPr>
          <w:ilvl w:val="0"/>
          <w:numId w:val="63"/>
        </w:numPr>
        <w:spacing w:after="0" w:line="360" w:lineRule="auto"/>
        <w:jc w:val="both"/>
        <w:rPr>
          <w:rFonts w:eastAsia="Times New Roman"/>
          <w:b/>
          <w:sz w:val="21"/>
          <w:szCs w:val="21"/>
          <w:lang w:eastAsia="pl-PL"/>
        </w:rPr>
      </w:pPr>
      <w:r w:rsidRPr="00AE35C1">
        <w:rPr>
          <w:rFonts w:eastAsia="Times New Roman"/>
          <w:b/>
          <w:sz w:val="21"/>
          <w:szCs w:val="21"/>
          <w:lang w:eastAsia="pl-PL"/>
        </w:rPr>
        <w:t>„N</w:t>
      </w:r>
      <w:r w:rsidRPr="00AE35C1">
        <w:rPr>
          <w:b/>
          <w:sz w:val="21"/>
          <w:szCs w:val="21"/>
        </w:rPr>
        <w:t>IESPÓJNA MOZAIKA</w:t>
      </w:r>
      <w:r w:rsidRPr="00AE35C1">
        <w:rPr>
          <w:rFonts w:eastAsia="Times New Roman"/>
          <w:b/>
          <w:sz w:val="21"/>
          <w:szCs w:val="21"/>
          <w:lang w:eastAsia="pl-PL"/>
        </w:rPr>
        <w:t>”.</w:t>
      </w:r>
    </w:p>
    <w:p w:rsidR="008610F6" w:rsidRPr="00AE35C1" w:rsidRDefault="00C80E89" w:rsidP="005728D9">
      <w:pPr>
        <w:ind w:firstLine="567"/>
        <w:jc w:val="both"/>
        <w:rPr>
          <w:rFonts w:eastAsia="Times New Roman"/>
          <w:sz w:val="21"/>
          <w:szCs w:val="21"/>
          <w:lang w:eastAsia="pl-PL"/>
        </w:rPr>
      </w:pPr>
      <w:r w:rsidRPr="00AE35C1">
        <w:rPr>
          <w:rFonts w:eastAsia="Times New Roman"/>
          <w:sz w:val="21"/>
          <w:szCs w:val="21"/>
          <w:lang w:eastAsia="pl-PL"/>
        </w:rPr>
        <w:t xml:space="preserve">Pierwszy ze scenariuszy </w:t>
      </w:r>
      <w:r w:rsidRPr="00AE35C1">
        <w:rPr>
          <w:rFonts w:eastAsia="Times New Roman"/>
          <w:bCs/>
          <w:sz w:val="21"/>
          <w:szCs w:val="21"/>
          <w:lang w:eastAsia="pl-PL"/>
        </w:rPr>
        <w:t xml:space="preserve">rozwoju regionu dolnośląskiego ukierunkowany jest na wyraźne zmniejszanie wewnątrzregionalnych różnic w poziomie </w:t>
      </w:r>
      <w:r w:rsidR="00656B2D" w:rsidRPr="00AE35C1">
        <w:rPr>
          <w:rFonts w:eastAsia="Times New Roman"/>
          <w:bCs/>
          <w:sz w:val="21"/>
          <w:szCs w:val="21"/>
          <w:lang w:eastAsia="pl-PL"/>
        </w:rPr>
        <w:t>rozwoju i konkurencyjności oraz </w:t>
      </w:r>
      <w:r w:rsidR="001704B1" w:rsidRPr="00AE35C1">
        <w:rPr>
          <w:rFonts w:eastAsia="Times New Roman"/>
          <w:bCs/>
          <w:sz w:val="21"/>
          <w:szCs w:val="21"/>
          <w:lang w:eastAsia="pl-PL"/>
        </w:rPr>
        <w:t>wyrównywanie ekonomicznych i </w:t>
      </w:r>
      <w:r w:rsidRPr="00AE35C1">
        <w:rPr>
          <w:rFonts w:eastAsia="Times New Roman"/>
          <w:bCs/>
          <w:sz w:val="21"/>
          <w:szCs w:val="21"/>
          <w:lang w:eastAsia="pl-PL"/>
        </w:rPr>
        <w:t>społecznych warunków funkcjonowania i rozwoju lokalnych społeczności. Kierunkami strategicznej interwencji w sferze</w:t>
      </w:r>
      <w:r w:rsidRPr="00AE35C1">
        <w:rPr>
          <w:rFonts w:eastAsia="Times New Roman"/>
          <w:sz w:val="21"/>
          <w:szCs w:val="21"/>
          <w:lang w:eastAsia="pl-PL"/>
        </w:rPr>
        <w:t xml:space="preserve"> gospodarczej będzie </w:t>
      </w:r>
      <w:r w:rsidRPr="00AE35C1">
        <w:rPr>
          <w:rFonts w:eastAsia="Times New Roman"/>
          <w:bCs/>
          <w:sz w:val="21"/>
          <w:szCs w:val="21"/>
          <w:lang w:eastAsia="pl-PL"/>
        </w:rPr>
        <w:t>rewitalizacja bazy ekonomicznej z</w:t>
      </w:r>
      <w:r w:rsidR="003F70EE" w:rsidRPr="00AE35C1">
        <w:rPr>
          <w:rFonts w:eastAsia="Times New Roman"/>
          <w:bCs/>
          <w:sz w:val="21"/>
          <w:szCs w:val="21"/>
          <w:lang w:eastAsia="pl-PL"/>
        </w:rPr>
        <w:t>marginalizowanych gmin, miast i </w:t>
      </w:r>
      <w:r w:rsidRPr="00AE35C1">
        <w:rPr>
          <w:rFonts w:eastAsia="Times New Roman"/>
          <w:bCs/>
          <w:sz w:val="21"/>
          <w:szCs w:val="21"/>
          <w:lang w:eastAsia="pl-PL"/>
        </w:rPr>
        <w:t xml:space="preserve">powiatów, a także </w:t>
      </w:r>
      <w:r w:rsidRPr="00AE35C1">
        <w:rPr>
          <w:rFonts w:eastAsia="Times New Roman"/>
          <w:sz w:val="21"/>
          <w:szCs w:val="21"/>
          <w:lang w:eastAsia="pl-PL"/>
        </w:rPr>
        <w:t xml:space="preserve">efektywne wykorzystanie </w:t>
      </w:r>
      <w:proofErr w:type="spellStart"/>
      <w:r w:rsidRPr="00AE35C1">
        <w:rPr>
          <w:rFonts w:eastAsia="Times New Roman"/>
          <w:sz w:val="21"/>
          <w:szCs w:val="21"/>
          <w:lang w:eastAsia="pl-PL"/>
        </w:rPr>
        <w:t>subregionalnych</w:t>
      </w:r>
      <w:proofErr w:type="spellEnd"/>
      <w:r w:rsidRPr="00AE35C1">
        <w:rPr>
          <w:rFonts w:eastAsia="Times New Roman"/>
          <w:sz w:val="21"/>
          <w:szCs w:val="21"/>
          <w:lang w:eastAsia="pl-PL"/>
        </w:rPr>
        <w:t xml:space="preserve"> inteligentnych specjalizacji dla uzyskania wyższe</w:t>
      </w:r>
      <w:r w:rsidR="001704B1" w:rsidRPr="00AE35C1">
        <w:rPr>
          <w:rFonts w:eastAsia="Times New Roman"/>
          <w:sz w:val="21"/>
          <w:szCs w:val="21"/>
          <w:lang w:eastAsia="pl-PL"/>
        </w:rPr>
        <w:t xml:space="preserve">go poziomu konkurencyjności </w:t>
      </w:r>
      <w:r w:rsidRPr="00AE35C1">
        <w:rPr>
          <w:rFonts w:eastAsia="Times New Roman"/>
          <w:sz w:val="21"/>
          <w:szCs w:val="21"/>
          <w:lang w:eastAsia="pl-PL"/>
        </w:rPr>
        <w:t xml:space="preserve">i innowacyjności, głównie regionu sudeckiego. W sferze społecznej założono zaś postępujący rozwój kapitału ludzkiego i społecznego, w tym kształtowanie regionalnej tożsamości. Towarzyszyć temu będzie aktywna polityka rozwojowa ukierunkowana na wzmacnianie potencjału instytucjonalnego na poziomie </w:t>
      </w:r>
      <w:proofErr w:type="spellStart"/>
      <w:r w:rsidRPr="00AE35C1">
        <w:rPr>
          <w:rFonts w:eastAsia="Times New Roman"/>
          <w:sz w:val="21"/>
          <w:szCs w:val="21"/>
          <w:lang w:eastAsia="pl-PL"/>
        </w:rPr>
        <w:t>subregionalnym</w:t>
      </w:r>
      <w:proofErr w:type="spellEnd"/>
      <w:r w:rsidRPr="00AE35C1">
        <w:rPr>
          <w:rFonts w:eastAsia="Times New Roman"/>
          <w:sz w:val="21"/>
          <w:szCs w:val="21"/>
          <w:lang w:eastAsia="pl-PL"/>
        </w:rPr>
        <w:t xml:space="preserve"> i lokalnym. Scenariusz ten zakłada ponadto intensyfikację polityki spójności</w:t>
      </w:r>
      <w:r w:rsidR="009D1D5B" w:rsidRPr="00AE35C1">
        <w:rPr>
          <w:rFonts w:eastAsia="Times New Roman"/>
          <w:sz w:val="21"/>
          <w:szCs w:val="21"/>
          <w:lang w:eastAsia="pl-PL"/>
        </w:rPr>
        <w:t xml:space="preserve"> </w:t>
      </w:r>
      <w:r w:rsidRPr="00AE35C1">
        <w:rPr>
          <w:rFonts w:eastAsia="Times New Roman"/>
          <w:sz w:val="21"/>
          <w:szCs w:val="21"/>
          <w:lang w:eastAsia="pl-PL"/>
        </w:rPr>
        <w:t>i terytorialnego podejścia w sferze gospodarczej, społecznej i przestrzennej. W polityce tej wykorzystane zostaną efektywnie instrumenty samorządowego interwencjonizmu, w</w:t>
      </w:r>
      <w:r w:rsidR="003F70EE" w:rsidRPr="00AE35C1">
        <w:rPr>
          <w:rFonts w:eastAsia="Times New Roman"/>
          <w:sz w:val="21"/>
          <w:szCs w:val="21"/>
          <w:lang w:eastAsia="pl-PL"/>
        </w:rPr>
        <w:t> </w:t>
      </w:r>
      <w:r w:rsidRPr="00AE35C1">
        <w:rPr>
          <w:rFonts w:eastAsia="Times New Roman"/>
          <w:sz w:val="21"/>
          <w:szCs w:val="21"/>
          <w:lang w:eastAsia="pl-PL"/>
        </w:rPr>
        <w:t xml:space="preserve">tym zwłaszcza </w:t>
      </w:r>
      <w:r w:rsidRPr="00AE35C1">
        <w:rPr>
          <w:rFonts w:eastAsia="Times New Roman"/>
          <w:bCs/>
          <w:sz w:val="21"/>
          <w:szCs w:val="21"/>
          <w:lang w:eastAsia="pl-PL"/>
        </w:rPr>
        <w:t>odpowiednio ukierunkowana terytorialnie i priorytetowo dystrybucja środków finansowych (budżetu województwa i unijnych)</w:t>
      </w:r>
      <w:r w:rsidRPr="00AE35C1">
        <w:rPr>
          <w:rFonts w:eastAsia="Times New Roman"/>
          <w:sz w:val="21"/>
          <w:szCs w:val="21"/>
          <w:lang w:eastAsia="pl-PL"/>
        </w:rPr>
        <w:t xml:space="preserve">. </w:t>
      </w:r>
      <w:r w:rsidRPr="00AE35C1">
        <w:rPr>
          <w:rFonts w:eastAsia="Times New Roman"/>
          <w:bCs/>
          <w:sz w:val="21"/>
          <w:szCs w:val="21"/>
          <w:lang w:eastAsia="pl-PL"/>
        </w:rPr>
        <w:t xml:space="preserve">Rozwojowym wzmocnieniem marginalizowanych części regionu (głównie podregionu sudeckiego) będzie również wzrost jakości usług publicznych oraz regionalna sieć dróg publicznych i sieć kolejowa czy też sieć </w:t>
      </w:r>
      <w:proofErr w:type="spellStart"/>
      <w:r w:rsidRPr="00AE35C1">
        <w:rPr>
          <w:rFonts w:eastAsia="Times New Roman"/>
          <w:bCs/>
          <w:sz w:val="21"/>
          <w:szCs w:val="21"/>
          <w:lang w:eastAsia="pl-PL"/>
        </w:rPr>
        <w:t>subregionalnych</w:t>
      </w:r>
      <w:proofErr w:type="spellEnd"/>
      <w:r w:rsidRPr="00AE35C1">
        <w:rPr>
          <w:rFonts w:eastAsia="Times New Roman"/>
          <w:bCs/>
          <w:sz w:val="21"/>
          <w:szCs w:val="21"/>
          <w:lang w:eastAsia="pl-PL"/>
        </w:rPr>
        <w:t xml:space="preserve"> ośrodków badawczo-rozwojowych. </w:t>
      </w:r>
      <w:r w:rsidR="001704B1" w:rsidRPr="00AE35C1">
        <w:rPr>
          <w:rFonts w:eastAsia="Times New Roman"/>
          <w:sz w:val="21"/>
          <w:szCs w:val="21"/>
          <w:lang w:eastAsia="pl-PL"/>
        </w:rPr>
        <w:t>Scenariusz </w:t>
      </w:r>
      <w:r w:rsidRPr="00AE35C1">
        <w:rPr>
          <w:rFonts w:eastAsia="Times New Roman"/>
          <w:sz w:val="21"/>
          <w:szCs w:val="21"/>
          <w:lang w:eastAsia="pl-PL"/>
        </w:rPr>
        <w:t>„</w:t>
      </w:r>
      <w:r w:rsidRPr="00AE35C1">
        <w:rPr>
          <w:sz w:val="21"/>
          <w:szCs w:val="21"/>
        </w:rPr>
        <w:t>dynamiczna równomierność</w:t>
      </w:r>
      <w:r w:rsidRPr="00AE35C1">
        <w:rPr>
          <w:rFonts w:eastAsia="Times New Roman"/>
          <w:sz w:val="21"/>
          <w:szCs w:val="21"/>
          <w:lang w:eastAsia="pl-PL"/>
        </w:rPr>
        <w:t>” jest najkorzystniejszy dla Dolnego Śląska.</w:t>
      </w:r>
    </w:p>
    <w:p w:rsidR="008610F6" w:rsidRPr="00AE35C1" w:rsidRDefault="00C80E89" w:rsidP="005728D9">
      <w:pPr>
        <w:ind w:firstLine="567"/>
        <w:jc w:val="both"/>
        <w:rPr>
          <w:rFonts w:eastAsia="Times New Roman"/>
          <w:bCs/>
          <w:sz w:val="21"/>
          <w:szCs w:val="21"/>
          <w:lang w:eastAsia="pl-PL"/>
        </w:rPr>
      </w:pPr>
      <w:r w:rsidRPr="00AE35C1">
        <w:rPr>
          <w:rFonts w:eastAsia="Times New Roman"/>
          <w:sz w:val="21"/>
          <w:szCs w:val="21"/>
          <w:lang w:eastAsia="pl-PL"/>
        </w:rPr>
        <w:t>Przyszłość dolnośląskiego regionu jest relatywnie gorsza w scenariuszu „m</w:t>
      </w:r>
      <w:r w:rsidRPr="00AE35C1">
        <w:rPr>
          <w:sz w:val="21"/>
          <w:szCs w:val="21"/>
        </w:rPr>
        <w:t>etropolitalna wyspa</w:t>
      </w:r>
      <w:r w:rsidRPr="00AE35C1">
        <w:rPr>
          <w:rFonts w:eastAsia="Times New Roman"/>
          <w:sz w:val="21"/>
          <w:szCs w:val="21"/>
          <w:lang w:eastAsia="pl-PL"/>
        </w:rPr>
        <w:t xml:space="preserve">” zorientowanym głównie na rozwój Wrocławia i związanego z nim obszaru metropolitalnego, a nadto kilku większych ośrodków regionalnych. Wykorzystywanie ich motorycznych sił i magnetycznego oddziaływania nie będzie jednak sprzyjało rozwojowi i integracji całego regionu dolnośląskiego. </w:t>
      </w:r>
      <w:r w:rsidRPr="00AE35C1">
        <w:rPr>
          <w:rFonts w:eastAsia="Times New Roman"/>
          <w:bCs/>
          <w:sz w:val="21"/>
          <w:szCs w:val="21"/>
          <w:lang w:eastAsia="pl-PL"/>
        </w:rPr>
        <w:t>Wrocławska metropolia oraz miejskie ośrodki o regionalnym znaczeniu będą wprawdzie się rozwijać, lecz wysyłane przez nie</w:t>
      </w:r>
      <w:r w:rsidR="003F70EE" w:rsidRPr="00AE35C1">
        <w:rPr>
          <w:rFonts w:eastAsia="Times New Roman"/>
          <w:bCs/>
          <w:sz w:val="21"/>
          <w:szCs w:val="21"/>
          <w:lang w:eastAsia="pl-PL"/>
        </w:rPr>
        <w:t> </w:t>
      </w:r>
      <w:r w:rsidRPr="00AE35C1">
        <w:rPr>
          <w:rFonts w:eastAsia="Times New Roman"/>
          <w:bCs/>
          <w:sz w:val="21"/>
          <w:szCs w:val="21"/>
          <w:lang w:eastAsia="pl-PL"/>
        </w:rPr>
        <w:t>impulsy rozwojowe będą odbierane jedynie w bezpośrednim sąsiedztwie. Pozostałe części regionu ulegać będą postępującej marginalizac</w:t>
      </w:r>
      <w:r w:rsidR="001704B1" w:rsidRPr="00AE35C1">
        <w:rPr>
          <w:rFonts w:eastAsia="Times New Roman"/>
          <w:bCs/>
          <w:sz w:val="21"/>
          <w:szCs w:val="21"/>
          <w:lang w:eastAsia="pl-PL"/>
        </w:rPr>
        <w:t xml:space="preserve">ji, społecznemu rozwarstwieniu </w:t>
      </w:r>
      <w:r w:rsidRPr="00AE35C1">
        <w:rPr>
          <w:rFonts w:eastAsia="Times New Roman"/>
          <w:bCs/>
          <w:sz w:val="21"/>
          <w:szCs w:val="21"/>
          <w:lang w:eastAsia="pl-PL"/>
        </w:rPr>
        <w:t xml:space="preserve">i depopulacji, a ich gospodarcze funkcje wyraźnej stagnacji. Zwłaszcza południowa część regionu dotknięta zostanie wysokim ryzykiem wielodziedzinowego </w:t>
      </w:r>
      <w:r w:rsidR="001704B1" w:rsidRPr="00AE35C1">
        <w:rPr>
          <w:rFonts w:eastAsia="Times New Roman"/>
          <w:bCs/>
          <w:sz w:val="21"/>
          <w:szCs w:val="21"/>
          <w:lang w:eastAsia="pl-PL"/>
        </w:rPr>
        <w:t xml:space="preserve">upadku. Rozwojowe dysproporcje </w:t>
      </w:r>
      <w:r w:rsidRPr="00AE35C1">
        <w:rPr>
          <w:rFonts w:eastAsia="Times New Roman"/>
          <w:bCs/>
          <w:sz w:val="21"/>
          <w:szCs w:val="21"/>
          <w:lang w:eastAsia="pl-PL"/>
        </w:rPr>
        <w:t>w regionie dol</w:t>
      </w:r>
      <w:r w:rsidR="003F70EE" w:rsidRPr="00AE35C1">
        <w:rPr>
          <w:rFonts w:eastAsia="Times New Roman"/>
          <w:bCs/>
          <w:sz w:val="21"/>
          <w:szCs w:val="21"/>
          <w:lang w:eastAsia="pl-PL"/>
        </w:rPr>
        <w:t>nośląskim będą się pogłębiać, a </w:t>
      </w:r>
      <w:r w:rsidRPr="00AE35C1">
        <w:rPr>
          <w:rFonts w:eastAsia="Times New Roman"/>
          <w:bCs/>
          <w:sz w:val="21"/>
          <w:szCs w:val="21"/>
          <w:lang w:eastAsia="pl-PL"/>
        </w:rPr>
        <w:t>tym samym narastać jego niespójność społeczna, gospodarcza i przestrzenna.</w:t>
      </w:r>
    </w:p>
    <w:p w:rsidR="008610F6" w:rsidRPr="00AE35C1" w:rsidRDefault="00C80E89" w:rsidP="005728D9">
      <w:pPr>
        <w:ind w:firstLine="567"/>
        <w:jc w:val="both"/>
        <w:rPr>
          <w:rFonts w:eastAsia="Times New Roman"/>
          <w:szCs w:val="24"/>
          <w:lang w:eastAsia="pl-PL"/>
        </w:rPr>
      </w:pPr>
      <w:r w:rsidRPr="00AE35C1">
        <w:rPr>
          <w:rFonts w:eastAsia="Times New Roman"/>
          <w:sz w:val="21"/>
          <w:szCs w:val="21"/>
          <w:lang w:eastAsia="pl-PL"/>
        </w:rPr>
        <w:t>Trzeci scenariusz rozwoju regionu dolnośląskiego to „niespójna mozaika”. Wyraźni</w:t>
      </w:r>
      <w:r w:rsidR="001704B1" w:rsidRPr="00AE35C1">
        <w:rPr>
          <w:rFonts w:eastAsia="Times New Roman"/>
          <w:sz w:val="21"/>
          <w:szCs w:val="21"/>
          <w:lang w:eastAsia="pl-PL"/>
        </w:rPr>
        <w:t>e nawiązuje do </w:t>
      </w:r>
      <w:r w:rsidRPr="00AE35C1">
        <w:rPr>
          <w:rFonts w:eastAsia="Times New Roman"/>
          <w:sz w:val="21"/>
          <w:szCs w:val="21"/>
          <w:lang w:eastAsia="pl-PL"/>
        </w:rPr>
        <w:t>dotychczasowych rozwojowych trendów i związanych z nimi problemów. W scenariuszu tym założono zatem utrzymanie rozwojowego dystansu między wrocławską met</w:t>
      </w:r>
      <w:r w:rsidR="001704B1" w:rsidRPr="00AE35C1">
        <w:rPr>
          <w:rFonts w:eastAsia="Times New Roman"/>
          <w:sz w:val="21"/>
          <w:szCs w:val="21"/>
          <w:lang w:eastAsia="pl-PL"/>
        </w:rPr>
        <w:t>ropolią i ośrodkami miejskimi o </w:t>
      </w:r>
      <w:r w:rsidRPr="00AE35C1">
        <w:rPr>
          <w:rFonts w:eastAsia="Times New Roman"/>
          <w:sz w:val="21"/>
          <w:szCs w:val="21"/>
          <w:lang w:eastAsia="pl-PL"/>
        </w:rPr>
        <w:t>regionalnym znaczeniu a ich peryferyjnym otoczeniem. Pogarszające się warunki gospodar</w:t>
      </w:r>
      <w:r w:rsidR="001704B1" w:rsidRPr="00AE35C1">
        <w:rPr>
          <w:rFonts w:eastAsia="Times New Roman"/>
          <w:sz w:val="21"/>
          <w:szCs w:val="21"/>
          <w:lang w:eastAsia="pl-PL"/>
        </w:rPr>
        <w:t>owania w </w:t>
      </w:r>
      <w:r w:rsidRPr="00AE35C1">
        <w:rPr>
          <w:rFonts w:eastAsia="Times New Roman"/>
          <w:sz w:val="21"/>
          <w:szCs w:val="21"/>
          <w:lang w:eastAsia="pl-PL"/>
        </w:rPr>
        <w:t>peryferyjnych częściach regionu (zwłaszcza na południu), a przy tym wyraźnie ograniczona ich dostępność komunikacyjna będą w niewielkim stopniu przezwyciężane nielicznymi terytorialnymi dedykacjami. W ślad za tym w tych częściach regionu postępować będą negatywne procesy demograficzne, relatywnie niska jakość usług publicznych,</w:t>
      </w:r>
      <w:r w:rsidR="00656B2D" w:rsidRPr="00AE35C1">
        <w:rPr>
          <w:rFonts w:eastAsia="Times New Roman"/>
          <w:sz w:val="21"/>
          <w:szCs w:val="21"/>
          <w:lang w:eastAsia="pl-PL"/>
        </w:rPr>
        <w:t xml:space="preserve"> liczne problemy społeczne. Nie </w:t>
      </w:r>
      <w:r w:rsidRPr="00AE35C1">
        <w:rPr>
          <w:rFonts w:eastAsia="Times New Roman"/>
          <w:sz w:val="21"/>
          <w:szCs w:val="21"/>
          <w:lang w:eastAsia="pl-PL"/>
        </w:rPr>
        <w:t>sprzyjać to będ</w:t>
      </w:r>
      <w:r w:rsidR="003F70EE" w:rsidRPr="00AE35C1">
        <w:rPr>
          <w:rFonts w:eastAsia="Times New Roman"/>
          <w:sz w:val="21"/>
          <w:szCs w:val="21"/>
          <w:lang w:eastAsia="pl-PL"/>
        </w:rPr>
        <w:t xml:space="preserve">zie przyspieszonemu rozwojowi </w:t>
      </w:r>
      <w:r w:rsidR="003F70EE" w:rsidRPr="00AE35C1">
        <w:rPr>
          <w:rFonts w:eastAsia="Times New Roman"/>
          <w:sz w:val="21"/>
          <w:szCs w:val="21"/>
          <w:lang w:eastAsia="pl-PL"/>
        </w:rPr>
        <w:lastRenderedPageBreak/>
        <w:t>i </w:t>
      </w:r>
      <w:r w:rsidRPr="00AE35C1">
        <w:rPr>
          <w:rFonts w:eastAsia="Times New Roman"/>
          <w:sz w:val="21"/>
          <w:szCs w:val="21"/>
          <w:lang w:eastAsia="pl-PL"/>
        </w:rPr>
        <w:t>wzmocnieniu konkurencyjności zmarginalizowanych obszarów, a tworzyć będzie podstawy do ich wielodziedzinowej stagnacji</w:t>
      </w:r>
      <w:r w:rsidRPr="00AE35C1">
        <w:rPr>
          <w:rFonts w:eastAsia="Times New Roman"/>
          <w:szCs w:val="24"/>
          <w:lang w:eastAsia="pl-PL"/>
        </w:rPr>
        <w:t>.</w:t>
      </w:r>
    </w:p>
    <w:tbl>
      <w:tblPr>
        <w:tblW w:w="0" w:type="auto"/>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shd w:val="clear" w:color="auto" w:fill="D9D9D9"/>
        <w:tblLayout w:type="fixed"/>
        <w:tblLook w:val="04A0"/>
      </w:tblPr>
      <w:tblGrid>
        <w:gridCol w:w="1951"/>
        <w:gridCol w:w="2445"/>
        <w:gridCol w:w="2446"/>
        <w:gridCol w:w="2480"/>
      </w:tblGrid>
      <w:tr w:rsidR="00C80E89" w:rsidRPr="00AE35C1" w:rsidTr="001D6040">
        <w:trPr>
          <w:trHeight w:val="188"/>
          <w:tblHeader/>
        </w:trPr>
        <w:tc>
          <w:tcPr>
            <w:tcW w:w="1951" w:type="dxa"/>
            <w:vMerge w:val="restart"/>
            <w:tcBorders>
              <w:right w:val="single" w:sz="24" w:space="0" w:color="FFFFFF"/>
            </w:tcBorders>
            <w:shd w:val="clear" w:color="auto" w:fill="D9D9D9"/>
            <w:vAlign w:val="center"/>
          </w:tcPr>
          <w:p w:rsidR="00C80E89" w:rsidRPr="00AE35C1" w:rsidRDefault="00C80E89" w:rsidP="00FD0968">
            <w:pPr>
              <w:spacing w:after="0" w:line="240" w:lineRule="auto"/>
              <w:jc w:val="center"/>
              <w:rPr>
                <w:b/>
                <w:sz w:val="20"/>
                <w:szCs w:val="20"/>
              </w:rPr>
            </w:pPr>
            <w:r w:rsidRPr="00AE35C1">
              <w:rPr>
                <w:b/>
                <w:sz w:val="20"/>
                <w:szCs w:val="20"/>
              </w:rPr>
              <w:t>Segmenty terytorialnego kapitału</w:t>
            </w:r>
          </w:p>
        </w:tc>
        <w:tc>
          <w:tcPr>
            <w:tcW w:w="7371" w:type="dxa"/>
            <w:gridSpan w:val="3"/>
            <w:tcBorders>
              <w:left w:val="single" w:sz="24" w:space="0" w:color="FFFFFF"/>
            </w:tcBorders>
            <w:shd w:val="clear" w:color="auto" w:fill="D9D9D9"/>
            <w:vAlign w:val="center"/>
          </w:tcPr>
          <w:p w:rsidR="00C80E89" w:rsidRPr="00AE35C1" w:rsidRDefault="00C80E89" w:rsidP="00FD0968">
            <w:pPr>
              <w:spacing w:after="0" w:line="240" w:lineRule="auto"/>
              <w:jc w:val="center"/>
              <w:rPr>
                <w:b/>
                <w:sz w:val="20"/>
                <w:szCs w:val="20"/>
              </w:rPr>
            </w:pPr>
            <w:r w:rsidRPr="00AE35C1">
              <w:rPr>
                <w:rFonts w:eastAsia="Times New Roman"/>
                <w:b/>
                <w:sz w:val="20"/>
                <w:szCs w:val="20"/>
                <w:lang w:eastAsia="pl-PL"/>
              </w:rPr>
              <w:t>Scenariusze rozwoju regionu dolnośląskiego</w:t>
            </w:r>
          </w:p>
        </w:tc>
      </w:tr>
      <w:tr w:rsidR="001A3B8F" w:rsidRPr="00AE35C1" w:rsidTr="001D6040">
        <w:trPr>
          <w:tblHeader/>
        </w:trPr>
        <w:tc>
          <w:tcPr>
            <w:tcW w:w="1951" w:type="dxa"/>
            <w:vMerge/>
            <w:tcBorders>
              <w:bottom w:val="single" w:sz="24" w:space="0" w:color="FFFFFF"/>
              <w:right w:val="single" w:sz="24" w:space="0" w:color="FFFFFF"/>
            </w:tcBorders>
            <w:shd w:val="clear" w:color="auto" w:fill="D9D9D9"/>
            <w:vAlign w:val="center"/>
          </w:tcPr>
          <w:p w:rsidR="00C80E89" w:rsidRPr="00AE35C1" w:rsidRDefault="00C80E89" w:rsidP="00FD0968">
            <w:pPr>
              <w:spacing w:after="0" w:line="240" w:lineRule="auto"/>
              <w:jc w:val="center"/>
              <w:rPr>
                <w:b/>
                <w:sz w:val="20"/>
                <w:szCs w:val="20"/>
              </w:rPr>
            </w:pPr>
          </w:p>
        </w:tc>
        <w:tc>
          <w:tcPr>
            <w:tcW w:w="2445" w:type="dxa"/>
            <w:tcBorders>
              <w:left w:val="single" w:sz="24" w:space="0" w:color="FFFFFF"/>
              <w:bottom w:val="single" w:sz="24" w:space="0" w:color="FFFFFF"/>
            </w:tcBorders>
            <w:shd w:val="clear" w:color="auto" w:fill="D9D9D9"/>
            <w:vAlign w:val="center"/>
          </w:tcPr>
          <w:p w:rsidR="00C80E89" w:rsidRPr="00AE35C1" w:rsidRDefault="00C80E89" w:rsidP="00FD0968">
            <w:pPr>
              <w:spacing w:after="0" w:line="240" w:lineRule="auto"/>
              <w:jc w:val="center"/>
              <w:rPr>
                <w:b/>
                <w:sz w:val="20"/>
                <w:szCs w:val="20"/>
              </w:rPr>
            </w:pPr>
            <w:r w:rsidRPr="00AE35C1">
              <w:rPr>
                <w:b/>
                <w:sz w:val="20"/>
                <w:szCs w:val="20"/>
              </w:rPr>
              <w:t>Dynamiczna równomierność</w:t>
            </w:r>
          </w:p>
        </w:tc>
        <w:tc>
          <w:tcPr>
            <w:tcW w:w="2446" w:type="dxa"/>
            <w:tcBorders>
              <w:bottom w:val="single" w:sz="24" w:space="0" w:color="FFFFFF"/>
            </w:tcBorders>
            <w:shd w:val="clear" w:color="auto" w:fill="D9D9D9"/>
            <w:vAlign w:val="center"/>
          </w:tcPr>
          <w:p w:rsidR="00C80E89" w:rsidRPr="00AE35C1" w:rsidRDefault="00C80E89" w:rsidP="00FD0968">
            <w:pPr>
              <w:spacing w:after="0" w:line="240" w:lineRule="auto"/>
              <w:jc w:val="center"/>
              <w:rPr>
                <w:b/>
                <w:sz w:val="20"/>
                <w:szCs w:val="20"/>
              </w:rPr>
            </w:pPr>
            <w:r w:rsidRPr="00AE35C1">
              <w:rPr>
                <w:b/>
                <w:sz w:val="20"/>
                <w:szCs w:val="20"/>
              </w:rPr>
              <w:t xml:space="preserve">Metropolitalna wyspa </w:t>
            </w:r>
          </w:p>
        </w:tc>
        <w:tc>
          <w:tcPr>
            <w:tcW w:w="2480" w:type="dxa"/>
            <w:tcBorders>
              <w:bottom w:val="single" w:sz="24" w:space="0" w:color="FFFFFF"/>
            </w:tcBorders>
            <w:shd w:val="clear" w:color="auto" w:fill="D9D9D9"/>
            <w:vAlign w:val="center"/>
          </w:tcPr>
          <w:p w:rsidR="00C80E89" w:rsidRPr="00AE35C1" w:rsidRDefault="00C80E89" w:rsidP="00FD0968">
            <w:pPr>
              <w:spacing w:after="0" w:line="240" w:lineRule="auto"/>
              <w:jc w:val="center"/>
              <w:rPr>
                <w:b/>
                <w:sz w:val="20"/>
                <w:szCs w:val="20"/>
              </w:rPr>
            </w:pPr>
            <w:r w:rsidRPr="00AE35C1">
              <w:rPr>
                <w:b/>
                <w:sz w:val="20"/>
                <w:szCs w:val="20"/>
              </w:rPr>
              <w:t>Niespójna mozaika</w:t>
            </w:r>
          </w:p>
        </w:tc>
      </w:tr>
      <w:tr w:rsidR="001A3B8F" w:rsidRPr="00AE35C1" w:rsidTr="001D6040">
        <w:tc>
          <w:tcPr>
            <w:tcW w:w="1951" w:type="dxa"/>
            <w:tcBorders>
              <w:top w:val="single" w:sz="24" w:space="0" w:color="FFFFFF"/>
              <w:right w:val="single" w:sz="24" w:space="0" w:color="FFFFFF"/>
            </w:tcBorders>
            <w:shd w:val="clear" w:color="auto" w:fill="D9D9D9"/>
          </w:tcPr>
          <w:p w:rsidR="00C80E89" w:rsidRPr="00AE35C1" w:rsidRDefault="00C80E89" w:rsidP="00FD0968">
            <w:pPr>
              <w:spacing w:after="0" w:line="240" w:lineRule="auto"/>
              <w:rPr>
                <w:b/>
                <w:sz w:val="20"/>
                <w:szCs w:val="20"/>
              </w:rPr>
            </w:pPr>
            <w:r w:rsidRPr="00AE35C1">
              <w:rPr>
                <w:b/>
                <w:sz w:val="20"/>
                <w:szCs w:val="20"/>
              </w:rPr>
              <w:t>Potencjał demograficzny</w:t>
            </w:r>
          </w:p>
        </w:tc>
        <w:tc>
          <w:tcPr>
            <w:tcW w:w="2445" w:type="dxa"/>
            <w:tcBorders>
              <w:top w:val="single" w:sz="24" w:space="0" w:color="FFFFFF"/>
              <w:left w:val="single" w:sz="24" w:space="0" w:color="FFFFFF"/>
            </w:tcBorders>
            <w:shd w:val="clear" w:color="auto" w:fill="D9D9D9"/>
          </w:tcPr>
          <w:p w:rsidR="00C80E89" w:rsidRPr="00AE35C1" w:rsidRDefault="00C80E89" w:rsidP="00FD0968">
            <w:pPr>
              <w:spacing w:after="0" w:line="240" w:lineRule="auto"/>
              <w:rPr>
                <w:sz w:val="19"/>
                <w:szCs w:val="19"/>
              </w:rPr>
            </w:pPr>
            <w:r w:rsidRPr="00AE35C1">
              <w:rPr>
                <w:sz w:val="19"/>
                <w:szCs w:val="19"/>
              </w:rPr>
              <w:t>powstrzymanie szybkiej depopulacji peryferyjnych obszarów regionu</w:t>
            </w:r>
          </w:p>
        </w:tc>
        <w:tc>
          <w:tcPr>
            <w:tcW w:w="2446" w:type="dxa"/>
            <w:tcBorders>
              <w:top w:val="single" w:sz="24" w:space="0" w:color="FFFFFF"/>
            </w:tcBorders>
            <w:shd w:val="clear" w:color="auto" w:fill="D9D9D9"/>
          </w:tcPr>
          <w:p w:rsidR="00C80E89" w:rsidRPr="00AE35C1" w:rsidRDefault="00C80E89" w:rsidP="00FD0968">
            <w:pPr>
              <w:spacing w:after="0" w:line="240" w:lineRule="auto"/>
              <w:rPr>
                <w:sz w:val="19"/>
                <w:szCs w:val="19"/>
              </w:rPr>
            </w:pPr>
            <w:r w:rsidRPr="00AE35C1">
              <w:rPr>
                <w:sz w:val="19"/>
                <w:szCs w:val="19"/>
              </w:rPr>
              <w:t>zróżnicowanie przestrzenne rozwoju demograficznego; rozwój wrocławskiego obszaru metropolital</w:t>
            </w:r>
            <w:r w:rsidR="009854AE" w:rsidRPr="00AE35C1">
              <w:rPr>
                <w:sz w:val="19"/>
                <w:szCs w:val="19"/>
              </w:rPr>
              <w:t>nego; postępująca depopulacja i </w:t>
            </w:r>
            <w:r w:rsidRPr="00AE35C1">
              <w:rPr>
                <w:sz w:val="19"/>
                <w:szCs w:val="19"/>
              </w:rPr>
              <w:t>starzenie się społeczności obszarów peryferyjnych</w:t>
            </w:r>
          </w:p>
        </w:tc>
        <w:tc>
          <w:tcPr>
            <w:tcW w:w="2480" w:type="dxa"/>
            <w:tcBorders>
              <w:top w:val="single" w:sz="24" w:space="0" w:color="FFFFFF"/>
            </w:tcBorders>
            <w:shd w:val="clear" w:color="auto" w:fill="D9D9D9"/>
          </w:tcPr>
          <w:p w:rsidR="00C80E89" w:rsidRPr="00AE35C1" w:rsidRDefault="00C80E89" w:rsidP="00FD0968">
            <w:pPr>
              <w:spacing w:after="0" w:line="240" w:lineRule="auto"/>
              <w:rPr>
                <w:sz w:val="19"/>
                <w:szCs w:val="19"/>
              </w:rPr>
            </w:pPr>
            <w:r w:rsidRPr="00AE35C1">
              <w:rPr>
                <w:sz w:val="19"/>
                <w:szCs w:val="19"/>
              </w:rPr>
              <w:t>zróżnicowanie przestrzenne rozwoju demograficznego</w:t>
            </w:r>
          </w:p>
        </w:tc>
      </w:tr>
      <w:tr w:rsidR="001A3B8F" w:rsidRPr="00AE35C1" w:rsidTr="001D6040">
        <w:tc>
          <w:tcPr>
            <w:tcW w:w="1951" w:type="dxa"/>
            <w:tcBorders>
              <w:right w:val="single" w:sz="24" w:space="0" w:color="FFFFFF"/>
            </w:tcBorders>
            <w:shd w:val="clear" w:color="auto" w:fill="D9D9D9"/>
          </w:tcPr>
          <w:p w:rsidR="00C80E89" w:rsidRPr="00AE35C1" w:rsidRDefault="00C80E89" w:rsidP="00FD0968">
            <w:pPr>
              <w:spacing w:after="0" w:line="240" w:lineRule="auto"/>
              <w:rPr>
                <w:b/>
                <w:sz w:val="20"/>
                <w:szCs w:val="20"/>
              </w:rPr>
            </w:pPr>
            <w:r w:rsidRPr="00AE35C1">
              <w:rPr>
                <w:b/>
                <w:sz w:val="20"/>
                <w:szCs w:val="20"/>
              </w:rPr>
              <w:t>Potencjał gospodarczy</w:t>
            </w:r>
          </w:p>
        </w:tc>
        <w:tc>
          <w:tcPr>
            <w:tcW w:w="2445" w:type="dxa"/>
            <w:tcBorders>
              <w:left w:val="single" w:sz="24" w:space="0" w:color="FFFFFF"/>
            </w:tcBorders>
            <w:shd w:val="clear" w:color="auto" w:fill="D9D9D9"/>
          </w:tcPr>
          <w:p w:rsidR="00C80E89" w:rsidRPr="00AE35C1" w:rsidRDefault="00C80E89" w:rsidP="00FD0968">
            <w:pPr>
              <w:spacing w:after="0" w:line="240" w:lineRule="auto"/>
              <w:rPr>
                <w:sz w:val="19"/>
                <w:szCs w:val="19"/>
              </w:rPr>
            </w:pPr>
            <w:r w:rsidRPr="00AE35C1">
              <w:rPr>
                <w:sz w:val="19"/>
                <w:szCs w:val="19"/>
              </w:rPr>
              <w:t>intensywne tworzenie moż</w:t>
            </w:r>
            <w:r w:rsidR="00626FB8" w:rsidRPr="00AE35C1">
              <w:rPr>
                <w:sz w:val="19"/>
                <w:szCs w:val="19"/>
              </w:rPr>
              <w:t>liwości gospodarczego rozwoju i </w:t>
            </w:r>
            <w:r w:rsidRPr="00AE35C1">
              <w:rPr>
                <w:sz w:val="19"/>
                <w:szCs w:val="19"/>
              </w:rPr>
              <w:t>kreowania przewag konkurency</w:t>
            </w:r>
            <w:r w:rsidR="009854AE" w:rsidRPr="00AE35C1">
              <w:rPr>
                <w:sz w:val="19"/>
                <w:szCs w:val="19"/>
              </w:rPr>
              <w:t>jnych obszarów zdegradowanych i </w:t>
            </w:r>
            <w:r w:rsidRPr="00AE35C1">
              <w:rPr>
                <w:sz w:val="19"/>
                <w:szCs w:val="19"/>
              </w:rPr>
              <w:t>zmarginalizowanych</w:t>
            </w:r>
          </w:p>
        </w:tc>
        <w:tc>
          <w:tcPr>
            <w:tcW w:w="2446" w:type="dxa"/>
            <w:shd w:val="clear" w:color="auto" w:fill="D9D9D9"/>
          </w:tcPr>
          <w:p w:rsidR="00C80E89" w:rsidRPr="00AE35C1" w:rsidRDefault="00C80E89" w:rsidP="00FD0968">
            <w:pPr>
              <w:spacing w:after="0" w:line="240" w:lineRule="auto"/>
              <w:rPr>
                <w:sz w:val="19"/>
                <w:szCs w:val="19"/>
              </w:rPr>
            </w:pPr>
            <w:r w:rsidRPr="00AE35C1">
              <w:rPr>
                <w:sz w:val="19"/>
                <w:szCs w:val="19"/>
              </w:rPr>
              <w:t>pogłębiające się dysproporcje rozwoju gospodarczego regi</w:t>
            </w:r>
            <w:r w:rsidR="00626FB8" w:rsidRPr="00AE35C1">
              <w:rPr>
                <w:sz w:val="19"/>
                <w:szCs w:val="19"/>
              </w:rPr>
              <w:t>onu; dominacja Wrocławia i </w:t>
            </w:r>
            <w:r w:rsidRPr="00AE35C1">
              <w:rPr>
                <w:sz w:val="19"/>
                <w:szCs w:val="19"/>
              </w:rPr>
              <w:t>jego otoczenia; stagnacja (upadek) obszarów peryferyjnych</w:t>
            </w:r>
          </w:p>
        </w:tc>
        <w:tc>
          <w:tcPr>
            <w:tcW w:w="2480" w:type="dxa"/>
            <w:shd w:val="clear" w:color="auto" w:fill="D9D9D9"/>
          </w:tcPr>
          <w:p w:rsidR="00C80E89" w:rsidRPr="00AE35C1" w:rsidRDefault="00C80E89" w:rsidP="00FD0968">
            <w:pPr>
              <w:spacing w:after="0" w:line="240" w:lineRule="auto"/>
              <w:rPr>
                <w:sz w:val="19"/>
                <w:szCs w:val="19"/>
              </w:rPr>
            </w:pPr>
            <w:r w:rsidRPr="00AE35C1">
              <w:rPr>
                <w:sz w:val="19"/>
                <w:szCs w:val="19"/>
              </w:rPr>
              <w:t>wyraźne dysproporcje rozwoju gospodarczego regionu</w:t>
            </w:r>
          </w:p>
        </w:tc>
      </w:tr>
      <w:tr w:rsidR="001A3B8F" w:rsidRPr="00AE35C1" w:rsidTr="001D6040">
        <w:tc>
          <w:tcPr>
            <w:tcW w:w="1951" w:type="dxa"/>
            <w:tcBorders>
              <w:right w:val="single" w:sz="24" w:space="0" w:color="FFFFFF"/>
            </w:tcBorders>
            <w:shd w:val="clear" w:color="auto" w:fill="D9D9D9"/>
          </w:tcPr>
          <w:p w:rsidR="00C80E89" w:rsidRPr="00AE35C1" w:rsidRDefault="00C80E89" w:rsidP="00FD0968">
            <w:pPr>
              <w:spacing w:after="0" w:line="240" w:lineRule="auto"/>
              <w:rPr>
                <w:b/>
                <w:sz w:val="20"/>
                <w:szCs w:val="20"/>
              </w:rPr>
            </w:pPr>
            <w:r w:rsidRPr="00AE35C1">
              <w:rPr>
                <w:b/>
                <w:sz w:val="20"/>
                <w:szCs w:val="20"/>
              </w:rPr>
              <w:t>Usługi publiczne</w:t>
            </w:r>
          </w:p>
        </w:tc>
        <w:tc>
          <w:tcPr>
            <w:tcW w:w="2445" w:type="dxa"/>
            <w:tcBorders>
              <w:left w:val="single" w:sz="24" w:space="0" w:color="FFFFFF"/>
            </w:tcBorders>
            <w:shd w:val="clear" w:color="auto" w:fill="D9D9D9"/>
          </w:tcPr>
          <w:p w:rsidR="00C80E89" w:rsidRPr="00AE35C1" w:rsidRDefault="00C80E89" w:rsidP="00FD0968">
            <w:pPr>
              <w:spacing w:after="0" w:line="240" w:lineRule="auto"/>
              <w:rPr>
                <w:sz w:val="19"/>
                <w:szCs w:val="19"/>
              </w:rPr>
            </w:pPr>
            <w:r w:rsidRPr="00AE35C1">
              <w:rPr>
                <w:sz w:val="19"/>
                <w:szCs w:val="19"/>
              </w:rPr>
              <w:t>rosnąca jakość usług publicznych także na obszarach peryferyjnych</w:t>
            </w:r>
          </w:p>
        </w:tc>
        <w:tc>
          <w:tcPr>
            <w:tcW w:w="2446" w:type="dxa"/>
            <w:shd w:val="clear" w:color="auto" w:fill="D9D9D9"/>
          </w:tcPr>
          <w:p w:rsidR="00C80E89" w:rsidRPr="00AE35C1" w:rsidRDefault="00C80E89" w:rsidP="00FD0968">
            <w:pPr>
              <w:spacing w:after="0" w:line="240" w:lineRule="auto"/>
              <w:rPr>
                <w:sz w:val="19"/>
                <w:szCs w:val="19"/>
              </w:rPr>
            </w:pPr>
            <w:r w:rsidRPr="00AE35C1">
              <w:rPr>
                <w:sz w:val="19"/>
                <w:szCs w:val="19"/>
              </w:rPr>
              <w:t>rosn</w:t>
            </w:r>
            <w:r w:rsidR="009854AE" w:rsidRPr="00AE35C1">
              <w:rPr>
                <w:sz w:val="19"/>
                <w:szCs w:val="19"/>
              </w:rPr>
              <w:t>ąca jakość usług publicznych we </w:t>
            </w:r>
            <w:r w:rsidRPr="00AE35C1">
              <w:rPr>
                <w:sz w:val="19"/>
                <w:szCs w:val="19"/>
              </w:rPr>
              <w:t>wrocław</w:t>
            </w:r>
            <w:r w:rsidR="00626FB8" w:rsidRPr="00AE35C1">
              <w:rPr>
                <w:sz w:val="19"/>
                <w:szCs w:val="19"/>
              </w:rPr>
              <w:t>skim obszarze metropolitalnym i ośrodkach o </w:t>
            </w:r>
            <w:r w:rsidRPr="00AE35C1">
              <w:rPr>
                <w:sz w:val="19"/>
                <w:szCs w:val="19"/>
              </w:rPr>
              <w:t>regionalnym znaczeniu; stagnacja na obszarach peryferyjnych</w:t>
            </w:r>
          </w:p>
        </w:tc>
        <w:tc>
          <w:tcPr>
            <w:tcW w:w="2480" w:type="dxa"/>
            <w:shd w:val="clear" w:color="auto" w:fill="D9D9D9"/>
          </w:tcPr>
          <w:p w:rsidR="00C80E89" w:rsidRPr="00AE35C1" w:rsidRDefault="00C80E89" w:rsidP="00FD0968">
            <w:pPr>
              <w:spacing w:after="0" w:line="240" w:lineRule="auto"/>
              <w:rPr>
                <w:sz w:val="19"/>
                <w:szCs w:val="19"/>
              </w:rPr>
            </w:pPr>
            <w:r w:rsidRPr="00AE35C1">
              <w:rPr>
                <w:sz w:val="19"/>
                <w:szCs w:val="19"/>
              </w:rPr>
              <w:t xml:space="preserve">utrzymanie przestrzennych dysproporcji w zakresie jakości usług publicznych; </w:t>
            </w:r>
            <w:r w:rsidRPr="00AE35C1">
              <w:rPr>
                <w:rFonts w:eastAsia="Times New Roman"/>
                <w:sz w:val="19"/>
                <w:szCs w:val="19"/>
                <w:lang w:eastAsia="pl-PL"/>
              </w:rPr>
              <w:t xml:space="preserve">relatywnie niska jakość usług publicznych </w:t>
            </w:r>
            <w:r w:rsidRPr="00AE35C1">
              <w:rPr>
                <w:sz w:val="19"/>
                <w:szCs w:val="19"/>
              </w:rPr>
              <w:t>na obszarach peryferyjnych</w:t>
            </w:r>
          </w:p>
        </w:tc>
      </w:tr>
      <w:tr w:rsidR="001A3B8F" w:rsidRPr="00AE35C1" w:rsidTr="001D6040">
        <w:tc>
          <w:tcPr>
            <w:tcW w:w="1951" w:type="dxa"/>
            <w:tcBorders>
              <w:right w:val="single" w:sz="24" w:space="0" w:color="FFFFFF"/>
            </w:tcBorders>
            <w:shd w:val="clear" w:color="auto" w:fill="D9D9D9"/>
          </w:tcPr>
          <w:p w:rsidR="00C80E89" w:rsidRPr="00AE35C1" w:rsidRDefault="00C80E89" w:rsidP="00FD0968">
            <w:pPr>
              <w:spacing w:after="0" w:line="240" w:lineRule="auto"/>
              <w:rPr>
                <w:b/>
                <w:sz w:val="20"/>
                <w:szCs w:val="20"/>
              </w:rPr>
            </w:pPr>
            <w:r w:rsidRPr="00AE35C1">
              <w:rPr>
                <w:b/>
                <w:sz w:val="20"/>
                <w:szCs w:val="20"/>
              </w:rPr>
              <w:t xml:space="preserve">Kapitał ludzki </w:t>
            </w:r>
            <w:r w:rsidR="009C20B3" w:rsidRPr="00AE35C1">
              <w:rPr>
                <w:b/>
                <w:sz w:val="20"/>
                <w:szCs w:val="20"/>
              </w:rPr>
              <w:br/>
            </w:r>
            <w:r w:rsidRPr="00AE35C1">
              <w:rPr>
                <w:b/>
                <w:sz w:val="20"/>
                <w:szCs w:val="20"/>
              </w:rPr>
              <w:t>i społeczny</w:t>
            </w:r>
          </w:p>
        </w:tc>
        <w:tc>
          <w:tcPr>
            <w:tcW w:w="2445" w:type="dxa"/>
            <w:tcBorders>
              <w:left w:val="single" w:sz="24" w:space="0" w:color="FFFFFF"/>
            </w:tcBorders>
            <w:shd w:val="clear" w:color="auto" w:fill="D9D9D9"/>
          </w:tcPr>
          <w:p w:rsidR="00C80E89" w:rsidRPr="00AE35C1" w:rsidRDefault="00C80E89" w:rsidP="00FD0968">
            <w:pPr>
              <w:spacing w:after="0" w:line="240" w:lineRule="auto"/>
              <w:rPr>
                <w:sz w:val="19"/>
                <w:szCs w:val="19"/>
              </w:rPr>
            </w:pPr>
            <w:r w:rsidRPr="00AE35C1">
              <w:rPr>
                <w:sz w:val="19"/>
                <w:szCs w:val="19"/>
              </w:rPr>
              <w:t>wzrost społecznego zaufania i terytorialnej (regionalnej) tożsamości; społeczna integracja regionu</w:t>
            </w:r>
          </w:p>
        </w:tc>
        <w:tc>
          <w:tcPr>
            <w:tcW w:w="2446" w:type="dxa"/>
            <w:shd w:val="clear" w:color="auto" w:fill="D9D9D9"/>
          </w:tcPr>
          <w:p w:rsidR="00C80E89" w:rsidRPr="00AE35C1" w:rsidRDefault="00C80E89" w:rsidP="00FD0968">
            <w:pPr>
              <w:spacing w:after="0" w:line="240" w:lineRule="auto"/>
              <w:rPr>
                <w:sz w:val="19"/>
                <w:szCs w:val="19"/>
              </w:rPr>
            </w:pPr>
            <w:r w:rsidRPr="00AE35C1">
              <w:rPr>
                <w:sz w:val="19"/>
                <w:szCs w:val="19"/>
              </w:rPr>
              <w:t>społeczna separacja wrocławskiego obszaru metropolitalnego; społeczna marginalizacja obszarów peryferyjnych; brak regionalnej tożsamości</w:t>
            </w:r>
          </w:p>
        </w:tc>
        <w:tc>
          <w:tcPr>
            <w:tcW w:w="2480" w:type="dxa"/>
            <w:shd w:val="clear" w:color="auto" w:fill="D9D9D9"/>
          </w:tcPr>
          <w:p w:rsidR="00C80E89" w:rsidRPr="00AE35C1" w:rsidRDefault="00C80E89" w:rsidP="00FD0968">
            <w:pPr>
              <w:spacing w:after="0" w:line="240" w:lineRule="auto"/>
              <w:rPr>
                <w:sz w:val="19"/>
                <w:szCs w:val="19"/>
              </w:rPr>
            </w:pPr>
            <w:r w:rsidRPr="00AE35C1">
              <w:rPr>
                <w:sz w:val="19"/>
                <w:szCs w:val="19"/>
              </w:rPr>
              <w:t>wzrost społecznego rozwarstwienia na obszarach peryferyjnych</w:t>
            </w:r>
          </w:p>
        </w:tc>
      </w:tr>
      <w:tr w:rsidR="00C80E89" w:rsidRPr="00AE35C1" w:rsidTr="001D6040">
        <w:tc>
          <w:tcPr>
            <w:tcW w:w="1951" w:type="dxa"/>
            <w:tcBorders>
              <w:right w:val="single" w:sz="24" w:space="0" w:color="FFFFFF"/>
            </w:tcBorders>
            <w:shd w:val="clear" w:color="auto" w:fill="D9D9D9"/>
          </w:tcPr>
          <w:p w:rsidR="00C80E89" w:rsidRPr="00AE35C1" w:rsidRDefault="00C80E89" w:rsidP="00FD0968">
            <w:pPr>
              <w:spacing w:after="0" w:line="240" w:lineRule="auto"/>
              <w:rPr>
                <w:b/>
                <w:sz w:val="20"/>
                <w:szCs w:val="20"/>
              </w:rPr>
            </w:pPr>
            <w:r w:rsidRPr="00AE35C1">
              <w:rPr>
                <w:b/>
                <w:sz w:val="20"/>
                <w:szCs w:val="20"/>
              </w:rPr>
              <w:t>Środowisko naturalne</w:t>
            </w:r>
          </w:p>
        </w:tc>
        <w:tc>
          <w:tcPr>
            <w:tcW w:w="7371" w:type="dxa"/>
            <w:gridSpan w:val="3"/>
            <w:tcBorders>
              <w:left w:val="single" w:sz="24" w:space="0" w:color="FFFFFF"/>
            </w:tcBorders>
            <w:shd w:val="clear" w:color="auto" w:fill="D9D9D9"/>
            <w:vAlign w:val="center"/>
          </w:tcPr>
          <w:p w:rsidR="00C80E89" w:rsidRPr="00AE35C1" w:rsidRDefault="00C80E89" w:rsidP="00FD0968">
            <w:pPr>
              <w:spacing w:after="0" w:line="240" w:lineRule="auto"/>
              <w:jc w:val="center"/>
              <w:rPr>
                <w:sz w:val="19"/>
                <w:szCs w:val="19"/>
              </w:rPr>
            </w:pPr>
            <w:r w:rsidRPr="00AE35C1">
              <w:rPr>
                <w:sz w:val="19"/>
                <w:szCs w:val="19"/>
              </w:rPr>
              <w:t>racjonalne wykorzystanie walorów i ochrona środowiska naturalnego</w:t>
            </w:r>
          </w:p>
        </w:tc>
      </w:tr>
      <w:tr w:rsidR="001A3B8F" w:rsidRPr="00AE35C1" w:rsidTr="001D6040">
        <w:tc>
          <w:tcPr>
            <w:tcW w:w="1951" w:type="dxa"/>
            <w:tcBorders>
              <w:right w:val="single" w:sz="24" w:space="0" w:color="FFFFFF"/>
            </w:tcBorders>
            <w:shd w:val="clear" w:color="auto" w:fill="D9D9D9"/>
          </w:tcPr>
          <w:p w:rsidR="00C80E89" w:rsidRPr="00AE35C1" w:rsidRDefault="00FB3F3C" w:rsidP="00FD0968">
            <w:pPr>
              <w:spacing w:after="0" w:line="240" w:lineRule="auto"/>
              <w:rPr>
                <w:b/>
                <w:sz w:val="20"/>
                <w:szCs w:val="20"/>
              </w:rPr>
            </w:pPr>
            <w:r w:rsidRPr="00AE35C1">
              <w:rPr>
                <w:b/>
                <w:sz w:val="20"/>
                <w:szCs w:val="20"/>
              </w:rPr>
              <w:t>Dostępność komunikacyjna</w:t>
            </w:r>
          </w:p>
        </w:tc>
        <w:tc>
          <w:tcPr>
            <w:tcW w:w="2445" w:type="dxa"/>
            <w:tcBorders>
              <w:left w:val="single" w:sz="24" w:space="0" w:color="FFFFFF"/>
            </w:tcBorders>
            <w:shd w:val="clear" w:color="auto" w:fill="D9D9D9"/>
          </w:tcPr>
          <w:p w:rsidR="00D96C9A" w:rsidRPr="00AE35C1" w:rsidRDefault="00C80E89" w:rsidP="00FD0968">
            <w:pPr>
              <w:spacing w:after="0" w:line="240" w:lineRule="auto"/>
              <w:rPr>
                <w:sz w:val="19"/>
                <w:szCs w:val="19"/>
              </w:rPr>
            </w:pPr>
            <w:r w:rsidRPr="00AE35C1">
              <w:rPr>
                <w:sz w:val="19"/>
                <w:szCs w:val="19"/>
              </w:rPr>
              <w:t>dostępność komunikacyjna obszarów peryferyjnych wspierająca ich rozwój</w:t>
            </w:r>
          </w:p>
        </w:tc>
        <w:tc>
          <w:tcPr>
            <w:tcW w:w="2446" w:type="dxa"/>
            <w:shd w:val="clear" w:color="auto" w:fill="D9D9D9"/>
          </w:tcPr>
          <w:p w:rsidR="00C80E89" w:rsidRPr="00AE35C1" w:rsidRDefault="00C80E89" w:rsidP="00FD0968">
            <w:pPr>
              <w:spacing w:after="0" w:line="240" w:lineRule="auto"/>
              <w:rPr>
                <w:sz w:val="19"/>
                <w:szCs w:val="19"/>
              </w:rPr>
            </w:pPr>
            <w:r w:rsidRPr="00AE35C1">
              <w:rPr>
                <w:sz w:val="19"/>
                <w:szCs w:val="19"/>
              </w:rPr>
              <w:t xml:space="preserve">komunikacyjna alienacja obszarów peryferyjnych </w:t>
            </w:r>
          </w:p>
        </w:tc>
        <w:tc>
          <w:tcPr>
            <w:tcW w:w="2480" w:type="dxa"/>
            <w:shd w:val="clear" w:color="auto" w:fill="D9D9D9"/>
          </w:tcPr>
          <w:p w:rsidR="00C80E89" w:rsidRPr="00AE35C1" w:rsidRDefault="00C80E89" w:rsidP="00FD0968">
            <w:pPr>
              <w:spacing w:after="0" w:line="240" w:lineRule="auto"/>
              <w:rPr>
                <w:sz w:val="19"/>
                <w:szCs w:val="19"/>
              </w:rPr>
            </w:pPr>
            <w:r w:rsidRPr="00AE35C1">
              <w:rPr>
                <w:sz w:val="19"/>
                <w:szCs w:val="19"/>
              </w:rPr>
              <w:t xml:space="preserve">niewielka poprawa komunikacyjnej dostępności obszarów peryferyjnych </w:t>
            </w:r>
          </w:p>
        </w:tc>
      </w:tr>
      <w:tr w:rsidR="001A3B8F" w:rsidRPr="00AE35C1" w:rsidTr="001D6040">
        <w:tc>
          <w:tcPr>
            <w:tcW w:w="1951" w:type="dxa"/>
            <w:tcBorders>
              <w:right w:val="single" w:sz="24" w:space="0" w:color="FFFFFF"/>
            </w:tcBorders>
            <w:shd w:val="clear" w:color="auto" w:fill="D9D9D9"/>
          </w:tcPr>
          <w:p w:rsidR="00C80E89" w:rsidRPr="00AE35C1" w:rsidRDefault="00C80E89" w:rsidP="00FD0968">
            <w:pPr>
              <w:spacing w:after="0" w:line="240" w:lineRule="auto"/>
              <w:rPr>
                <w:b/>
                <w:sz w:val="20"/>
                <w:szCs w:val="20"/>
              </w:rPr>
            </w:pPr>
            <w:r w:rsidRPr="00AE35C1">
              <w:rPr>
                <w:b/>
                <w:sz w:val="20"/>
                <w:szCs w:val="20"/>
              </w:rPr>
              <w:t>Potencjał finansowy</w:t>
            </w:r>
          </w:p>
        </w:tc>
        <w:tc>
          <w:tcPr>
            <w:tcW w:w="2445" w:type="dxa"/>
            <w:tcBorders>
              <w:left w:val="single" w:sz="24" w:space="0" w:color="FFFFFF"/>
            </w:tcBorders>
            <w:shd w:val="clear" w:color="auto" w:fill="D9D9D9"/>
          </w:tcPr>
          <w:p w:rsidR="00C80E89" w:rsidRPr="00AE35C1" w:rsidRDefault="00C80E89" w:rsidP="00FD0968">
            <w:pPr>
              <w:spacing w:after="0" w:line="240" w:lineRule="auto"/>
              <w:rPr>
                <w:sz w:val="19"/>
                <w:szCs w:val="19"/>
              </w:rPr>
            </w:pPr>
            <w:r w:rsidRPr="00AE35C1">
              <w:rPr>
                <w:sz w:val="19"/>
                <w:szCs w:val="19"/>
              </w:rPr>
              <w:t>duże znaczenie alokacji finansowych dedykowanych terytorialnie obszarom peryferyjnym</w:t>
            </w:r>
          </w:p>
        </w:tc>
        <w:tc>
          <w:tcPr>
            <w:tcW w:w="2446" w:type="dxa"/>
            <w:shd w:val="clear" w:color="auto" w:fill="D9D9D9"/>
          </w:tcPr>
          <w:p w:rsidR="00C80E89" w:rsidRPr="00AE35C1" w:rsidRDefault="00C80E89" w:rsidP="00FD0968">
            <w:pPr>
              <w:spacing w:after="0" w:line="240" w:lineRule="auto"/>
              <w:rPr>
                <w:sz w:val="19"/>
                <w:szCs w:val="19"/>
              </w:rPr>
            </w:pPr>
            <w:r w:rsidRPr="00AE35C1">
              <w:rPr>
                <w:sz w:val="19"/>
                <w:szCs w:val="19"/>
              </w:rPr>
              <w:t>wyraźne dysproporcje przestrzenne alokacji finansowych</w:t>
            </w:r>
          </w:p>
        </w:tc>
        <w:tc>
          <w:tcPr>
            <w:tcW w:w="2480" w:type="dxa"/>
            <w:shd w:val="clear" w:color="auto" w:fill="D9D9D9"/>
          </w:tcPr>
          <w:p w:rsidR="00C80E89" w:rsidRPr="00AE35C1" w:rsidRDefault="00C80E89" w:rsidP="00FD0968">
            <w:pPr>
              <w:spacing w:after="0" w:line="240" w:lineRule="auto"/>
              <w:rPr>
                <w:sz w:val="19"/>
                <w:szCs w:val="19"/>
              </w:rPr>
            </w:pPr>
            <w:r w:rsidRPr="00AE35C1">
              <w:rPr>
                <w:sz w:val="19"/>
                <w:szCs w:val="19"/>
              </w:rPr>
              <w:t xml:space="preserve">alokacje finansowe dedykowane głównie dziedzinowo </w:t>
            </w:r>
          </w:p>
        </w:tc>
      </w:tr>
      <w:tr w:rsidR="001A3B8F" w:rsidRPr="00AE35C1" w:rsidTr="001D6040">
        <w:tc>
          <w:tcPr>
            <w:tcW w:w="1951" w:type="dxa"/>
            <w:tcBorders>
              <w:right w:val="single" w:sz="24" w:space="0" w:color="FFFFFF"/>
            </w:tcBorders>
            <w:shd w:val="clear" w:color="auto" w:fill="D9D9D9"/>
          </w:tcPr>
          <w:p w:rsidR="00C80E89" w:rsidRPr="00AE35C1" w:rsidRDefault="00C80E89" w:rsidP="00FD0968">
            <w:pPr>
              <w:spacing w:after="0" w:line="240" w:lineRule="auto"/>
              <w:rPr>
                <w:b/>
                <w:sz w:val="20"/>
                <w:szCs w:val="20"/>
              </w:rPr>
            </w:pPr>
            <w:r w:rsidRPr="00AE35C1">
              <w:rPr>
                <w:b/>
                <w:sz w:val="20"/>
                <w:szCs w:val="20"/>
              </w:rPr>
              <w:t>Potencjał instytucjonalny</w:t>
            </w:r>
          </w:p>
        </w:tc>
        <w:tc>
          <w:tcPr>
            <w:tcW w:w="2445" w:type="dxa"/>
            <w:tcBorders>
              <w:left w:val="single" w:sz="24" w:space="0" w:color="FFFFFF"/>
            </w:tcBorders>
            <w:shd w:val="clear" w:color="auto" w:fill="D9D9D9"/>
          </w:tcPr>
          <w:p w:rsidR="00C80E89" w:rsidRPr="00AE35C1" w:rsidRDefault="00C80E89" w:rsidP="001E47CF">
            <w:pPr>
              <w:spacing w:after="0" w:line="240" w:lineRule="auto"/>
              <w:rPr>
                <w:sz w:val="19"/>
                <w:szCs w:val="19"/>
              </w:rPr>
            </w:pPr>
            <w:r w:rsidRPr="00AE35C1">
              <w:rPr>
                <w:sz w:val="19"/>
                <w:szCs w:val="19"/>
              </w:rPr>
              <w:t>dopełni</w:t>
            </w:r>
            <w:r w:rsidR="00626FB8" w:rsidRPr="00AE35C1">
              <w:rPr>
                <w:sz w:val="19"/>
                <w:szCs w:val="19"/>
              </w:rPr>
              <w:t xml:space="preserve">enie ośrodków </w:t>
            </w:r>
            <w:r w:rsidR="001E47CF">
              <w:rPr>
                <w:sz w:val="19"/>
                <w:szCs w:val="19"/>
              </w:rPr>
              <w:t xml:space="preserve">regionalnych i </w:t>
            </w:r>
            <w:proofErr w:type="spellStart"/>
            <w:r w:rsidR="00626FB8" w:rsidRPr="00AE35C1">
              <w:rPr>
                <w:sz w:val="19"/>
                <w:szCs w:val="19"/>
              </w:rPr>
              <w:t>subregionalnych</w:t>
            </w:r>
            <w:proofErr w:type="spellEnd"/>
            <w:r w:rsidR="00626FB8" w:rsidRPr="00AE35C1">
              <w:rPr>
                <w:sz w:val="19"/>
                <w:szCs w:val="19"/>
              </w:rPr>
              <w:t xml:space="preserve"> o </w:t>
            </w:r>
            <w:r w:rsidRPr="00AE35C1">
              <w:rPr>
                <w:sz w:val="19"/>
                <w:szCs w:val="19"/>
              </w:rPr>
              <w:t xml:space="preserve">regionalne funkcje administracyjne, </w:t>
            </w:r>
            <w:r w:rsidRPr="00AE35C1">
              <w:rPr>
                <w:rFonts w:eastAsia="Times New Roman"/>
                <w:bCs/>
                <w:sz w:val="19"/>
                <w:szCs w:val="19"/>
                <w:lang w:eastAsia="pl-PL"/>
              </w:rPr>
              <w:t>ośrodki badawczo-rozwojowe</w:t>
            </w:r>
          </w:p>
        </w:tc>
        <w:tc>
          <w:tcPr>
            <w:tcW w:w="2446" w:type="dxa"/>
            <w:shd w:val="clear" w:color="auto" w:fill="D9D9D9"/>
          </w:tcPr>
          <w:p w:rsidR="00C80E89" w:rsidRPr="00AE35C1" w:rsidRDefault="00C80E89" w:rsidP="00FD0968">
            <w:pPr>
              <w:spacing w:after="0" w:line="240" w:lineRule="auto"/>
              <w:rPr>
                <w:sz w:val="19"/>
                <w:szCs w:val="19"/>
              </w:rPr>
            </w:pPr>
            <w:r w:rsidRPr="00AE35C1">
              <w:rPr>
                <w:sz w:val="19"/>
                <w:szCs w:val="19"/>
              </w:rPr>
              <w:t>instyt</w:t>
            </w:r>
            <w:r w:rsidR="00626FB8" w:rsidRPr="00AE35C1">
              <w:rPr>
                <w:sz w:val="19"/>
                <w:szCs w:val="19"/>
              </w:rPr>
              <w:t>ucjonalna dominacja Wrocławia i </w:t>
            </w:r>
            <w:r w:rsidRPr="00AE35C1">
              <w:rPr>
                <w:sz w:val="19"/>
                <w:szCs w:val="19"/>
              </w:rPr>
              <w:t>degradacja obszarów peryferyjnych</w:t>
            </w:r>
          </w:p>
        </w:tc>
        <w:tc>
          <w:tcPr>
            <w:tcW w:w="2480" w:type="dxa"/>
            <w:shd w:val="clear" w:color="auto" w:fill="D9D9D9"/>
          </w:tcPr>
          <w:p w:rsidR="00C80E89" w:rsidRPr="00AE35C1" w:rsidRDefault="00C80E89" w:rsidP="00FD0968">
            <w:pPr>
              <w:spacing w:after="0" w:line="240" w:lineRule="auto"/>
              <w:rPr>
                <w:sz w:val="19"/>
                <w:szCs w:val="19"/>
              </w:rPr>
            </w:pPr>
            <w:r w:rsidRPr="00AE35C1">
              <w:rPr>
                <w:sz w:val="19"/>
                <w:szCs w:val="19"/>
              </w:rPr>
              <w:t>utrzymanie dotychczasowego r</w:t>
            </w:r>
            <w:r w:rsidR="003F70EE" w:rsidRPr="00AE35C1">
              <w:rPr>
                <w:sz w:val="19"/>
                <w:szCs w:val="19"/>
              </w:rPr>
              <w:t>ozmieszczenia instytucji o </w:t>
            </w:r>
            <w:r w:rsidRPr="00AE35C1">
              <w:rPr>
                <w:sz w:val="19"/>
                <w:szCs w:val="19"/>
              </w:rPr>
              <w:t>regionalnym znaczeniu</w:t>
            </w:r>
          </w:p>
        </w:tc>
      </w:tr>
    </w:tbl>
    <w:p w:rsidR="00C80E89" w:rsidRPr="00AE35C1" w:rsidRDefault="00C80E89" w:rsidP="00C80E89">
      <w:pPr>
        <w:spacing w:after="0" w:line="240" w:lineRule="auto"/>
      </w:pPr>
    </w:p>
    <w:p w:rsidR="00C80E89" w:rsidRPr="00AE35C1" w:rsidRDefault="00C80E89" w:rsidP="003F70EE">
      <w:pPr>
        <w:jc w:val="both"/>
        <w:rPr>
          <w:sz w:val="21"/>
          <w:szCs w:val="21"/>
        </w:rPr>
      </w:pPr>
      <w:r w:rsidRPr="00AE35C1">
        <w:rPr>
          <w:bCs/>
          <w:sz w:val="21"/>
          <w:szCs w:val="21"/>
        </w:rPr>
        <w:t>Bliższa i bardziej odległa przyszłość regionu dolnośląskiego obfitować będzie z pewnością</w:t>
      </w:r>
      <w:r w:rsidR="00976FC4" w:rsidRPr="00AE35C1">
        <w:rPr>
          <w:bCs/>
          <w:sz w:val="21"/>
          <w:szCs w:val="21"/>
        </w:rPr>
        <w:t xml:space="preserve"> w</w:t>
      </w:r>
      <w:r w:rsidR="003F70EE" w:rsidRPr="00AE35C1">
        <w:rPr>
          <w:bCs/>
          <w:sz w:val="21"/>
          <w:szCs w:val="21"/>
        </w:rPr>
        <w:t> </w:t>
      </w:r>
      <w:r w:rsidR="00976FC4" w:rsidRPr="00AE35C1">
        <w:rPr>
          <w:bCs/>
          <w:sz w:val="21"/>
          <w:szCs w:val="21"/>
        </w:rPr>
        <w:t>wiele nie </w:t>
      </w:r>
      <w:r w:rsidR="003557AE" w:rsidRPr="00AE35C1">
        <w:rPr>
          <w:bCs/>
          <w:sz w:val="21"/>
          <w:szCs w:val="21"/>
        </w:rPr>
        <w:t>w </w:t>
      </w:r>
      <w:r w:rsidRPr="00AE35C1">
        <w:rPr>
          <w:bCs/>
          <w:sz w:val="21"/>
          <w:szCs w:val="21"/>
        </w:rPr>
        <w:t>pełni obecnie przewidywalnych zdarzeń i problemów</w:t>
      </w:r>
      <w:r w:rsidRPr="00AE35C1">
        <w:rPr>
          <w:b/>
          <w:bCs/>
          <w:sz w:val="21"/>
          <w:szCs w:val="21"/>
        </w:rPr>
        <w:t>.</w:t>
      </w:r>
    </w:p>
    <w:p w:rsidR="00C80E89" w:rsidRPr="00AE35C1" w:rsidRDefault="00C80E89" w:rsidP="00B309B8">
      <w:pPr>
        <w:tabs>
          <w:tab w:val="left" w:pos="855"/>
        </w:tabs>
        <w:sectPr w:rsidR="00C80E89" w:rsidRPr="00AE35C1" w:rsidSect="00E73C96">
          <w:pgSz w:w="11906" w:h="16838"/>
          <w:pgMar w:top="1571" w:right="1276" w:bottom="1417" w:left="1417" w:header="708" w:footer="708" w:gutter="0"/>
          <w:cols w:space="454"/>
          <w:titlePg/>
          <w:docGrid w:linePitch="360"/>
        </w:sectPr>
      </w:pPr>
    </w:p>
    <w:p w:rsidR="00831ECF" w:rsidRPr="00AE35C1" w:rsidRDefault="00641928" w:rsidP="00D41A4A">
      <w:pPr>
        <w:pStyle w:val="Nagwek1"/>
      </w:pPr>
      <w:bookmarkStart w:id="56" w:name="_Toc511716322"/>
      <w:r w:rsidRPr="00AE35C1">
        <w:lastRenderedPageBreak/>
        <w:t>3</w:t>
      </w:r>
      <w:r w:rsidR="0060611E" w:rsidRPr="00AE35C1">
        <w:t>.</w:t>
      </w:r>
      <w:r w:rsidR="008C41B7" w:rsidRPr="00AE35C1">
        <w:t xml:space="preserve"> Wizja</w:t>
      </w:r>
      <w:r w:rsidR="0060611E" w:rsidRPr="00AE35C1">
        <w:t xml:space="preserve">, misja </w:t>
      </w:r>
      <w:r w:rsidR="008C41B7" w:rsidRPr="00AE35C1">
        <w:t xml:space="preserve">i cele </w:t>
      </w:r>
      <w:r w:rsidR="0060611E" w:rsidRPr="00AE35C1">
        <w:t xml:space="preserve">strategiczne </w:t>
      </w:r>
      <w:r w:rsidR="008C41B7" w:rsidRPr="00AE35C1">
        <w:t>rozwoju regionu</w:t>
      </w:r>
      <w:bookmarkEnd w:id="56"/>
    </w:p>
    <w:p w:rsidR="00831ECF" w:rsidRPr="00AE35C1" w:rsidRDefault="00831ECF" w:rsidP="00FD5C8A">
      <w:pPr>
        <w:spacing w:after="0" w:line="360" w:lineRule="auto"/>
        <w:rPr>
          <w:b/>
          <w:bCs/>
          <w:color w:val="000000"/>
          <w:sz w:val="21"/>
          <w:szCs w:val="21"/>
        </w:rPr>
      </w:pPr>
    </w:p>
    <w:p w:rsidR="00831ECF" w:rsidRPr="00AE35C1" w:rsidRDefault="00831ECF" w:rsidP="00FD5C8A">
      <w:pPr>
        <w:spacing w:after="0" w:line="360" w:lineRule="auto"/>
        <w:jc w:val="center"/>
        <w:rPr>
          <w:b/>
          <w:bCs/>
          <w:i/>
          <w:color w:val="000000"/>
          <w:sz w:val="21"/>
          <w:szCs w:val="21"/>
        </w:rPr>
      </w:pPr>
      <w:r w:rsidRPr="00AE35C1">
        <w:rPr>
          <w:b/>
          <w:bCs/>
          <w:i/>
          <w:color w:val="000000"/>
          <w:sz w:val="21"/>
          <w:szCs w:val="21"/>
        </w:rPr>
        <w:t>WIZJA DOLNEGO ŚLĄSKA 2030</w:t>
      </w:r>
    </w:p>
    <w:p w:rsidR="00831ECF" w:rsidRPr="00AE35C1" w:rsidRDefault="00831ECF" w:rsidP="00FD5C8A">
      <w:pPr>
        <w:spacing w:after="0" w:line="360" w:lineRule="auto"/>
        <w:jc w:val="center"/>
        <w:rPr>
          <w:b/>
          <w:bCs/>
          <w:color w:val="000000"/>
          <w:sz w:val="21"/>
          <w:szCs w:val="21"/>
        </w:rPr>
      </w:pPr>
      <w:r w:rsidRPr="00AE35C1">
        <w:rPr>
          <w:b/>
          <w:bCs/>
          <w:color w:val="000000"/>
          <w:sz w:val="21"/>
          <w:szCs w:val="21"/>
        </w:rPr>
        <w:t>Dolny Śląsk 2030</w:t>
      </w:r>
    </w:p>
    <w:p w:rsidR="00831ECF" w:rsidRPr="00AE35C1" w:rsidRDefault="00831ECF" w:rsidP="00FD5C8A">
      <w:pPr>
        <w:spacing w:after="0" w:line="360" w:lineRule="auto"/>
        <w:jc w:val="center"/>
        <w:rPr>
          <w:b/>
          <w:color w:val="000000"/>
          <w:sz w:val="21"/>
          <w:szCs w:val="21"/>
        </w:rPr>
      </w:pPr>
      <w:r w:rsidRPr="00AE35C1">
        <w:rPr>
          <w:b/>
          <w:bCs/>
          <w:color w:val="000000"/>
          <w:sz w:val="21"/>
          <w:szCs w:val="21"/>
        </w:rPr>
        <w:t xml:space="preserve">regionem równomiernego rozwoju, regionem przyjaznym, nowoczesnym </w:t>
      </w:r>
      <w:r w:rsidR="008C41B7" w:rsidRPr="00AE35C1">
        <w:rPr>
          <w:b/>
          <w:bCs/>
          <w:color w:val="000000"/>
          <w:sz w:val="21"/>
          <w:szCs w:val="21"/>
        </w:rPr>
        <w:t>i konkurencyjnym</w:t>
      </w:r>
    </w:p>
    <w:p w:rsidR="00831ECF" w:rsidRPr="00AE35C1" w:rsidRDefault="00831ECF" w:rsidP="00FD5C8A">
      <w:pPr>
        <w:spacing w:after="0" w:line="360" w:lineRule="auto"/>
        <w:rPr>
          <w:b/>
          <w:bCs/>
          <w:i/>
          <w:color w:val="000000"/>
          <w:sz w:val="21"/>
          <w:szCs w:val="21"/>
        </w:rPr>
      </w:pPr>
    </w:p>
    <w:p w:rsidR="00831ECF" w:rsidRPr="00AE35C1" w:rsidRDefault="00831ECF" w:rsidP="00FD5C8A">
      <w:pPr>
        <w:spacing w:after="0" w:line="360" w:lineRule="auto"/>
        <w:rPr>
          <w:b/>
          <w:bCs/>
          <w:i/>
          <w:color w:val="000000"/>
          <w:sz w:val="21"/>
          <w:szCs w:val="21"/>
        </w:rPr>
      </w:pPr>
      <w:r w:rsidRPr="00AE35C1">
        <w:rPr>
          <w:b/>
          <w:bCs/>
          <w:i/>
          <w:color w:val="000000"/>
          <w:sz w:val="21"/>
          <w:szCs w:val="21"/>
        </w:rPr>
        <w:t>MISJA DOLNEGO ŚLĄSKA 2030</w:t>
      </w:r>
    </w:p>
    <w:p w:rsidR="00831ECF" w:rsidRPr="00AE35C1" w:rsidRDefault="00831ECF" w:rsidP="00FD5C8A">
      <w:pPr>
        <w:spacing w:after="0" w:line="360" w:lineRule="auto"/>
        <w:rPr>
          <w:b/>
          <w:color w:val="365F91"/>
          <w:sz w:val="21"/>
          <w:szCs w:val="21"/>
        </w:rPr>
      </w:pPr>
      <w:r w:rsidRPr="00AE35C1">
        <w:rPr>
          <w:b/>
          <w:bCs/>
          <w:color w:val="365F91"/>
          <w:sz w:val="21"/>
          <w:szCs w:val="21"/>
        </w:rPr>
        <w:t>OTWARCI NA SIEBIE - OTWARCI NA ŚWIAT</w:t>
      </w:r>
    </w:p>
    <w:p w:rsidR="00831ECF" w:rsidRPr="00AE35C1" w:rsidRDefault="00831ECF" w:rsidP="00FD5C8A">
      <w:pPr>
        <w:numPr>
          <w:ilvl w:val="0"/>
          <w:numId w:val="1"/>
        </w:numPr>
        <w:suppressAutoHyphens/>
        <w:spacing w:after="0" w:line="360" w:lineRule="auto"/>
        <w:jc w:val="both"/>
        <w:rPr>
          <w:b/>
          <w:color w:val="000000"/>
          <w:sz w:val="21"/>
          <w:szCs w:val="21"/>
        </w:rPr>
      </w:pPr>
      <w:r w:rsidRPr="00AE35C1">
        <w:rPr>
          <w:b/>
          <w:bCs/>
          <w:color w:val="000000"/>
          <w:sz w:val="21"/>
          <w:szCs w:val="21"/>
        </w:rPr>
        <w:t>wyrównywanie</w:t>
      </w:r>
      <w:r w:rsidRPr="00AE35C1">
        <w:rPr>
          <w:rFonts w:ascii="Open Sans" w:hAnsi="Open Sans"/>
          <w:color w:val="000000"/>
          <w:sz w:val="21"/>
          <w:szCs w:val="21"/>
        </w:rPr>
        <w:t xml:space="preserve"> </w:t>
      </w:r>
      <w:r w:rsidRPr="00AE35C1">
        <w:rPr>
          <w:b/>
          <w:bCs/>
          <w:color w:val="000000"/>
          <w:sz w:val="21"/>
          <w:szCs w:val="21"/>
        </w:rPr>
        <w:t>szans rozwojowych,</w:t>
      </w:r>
    </w:p>
    <w:p w:rsidR="00831ECF" w:rsidRPr="00AE35C1" w:rsidRDefault="00831ECF" w:rsidP="00FD5C8A">
      <w:pPr>
        <w:numPr>
          <w:ilvl w:val="0"/>
          <w:numId w:val="1"/>
        </w:numPr>
        <w:suppressAutoHyphens/>
        <w:spacing w:after="0" w:line="360" w:lineRule="auto"/>
        <w:jc w:val="both"/>
        <w:rPr>
          <w:b/>
          <w:color w:val="000000"/>
          <w:sz w:val="21"/>
          <w:szCs w:val="21"/>
        </w:rPr>
      </w:pPr>
      <w:r w:rsidRPr="00AE35C1">
        <w:rPr>
          <w:b/>
          <w:bCs/>
          <w:color w:val="000000"/>
          <w:sz w:val="21"/>
          <w:szCs w:val="21"/>
        </w:rPr>
        <w:t>wzrost aktywności mieszkańców regionu,</w:t>
      </w:r>
    </w:p>
    <w:p w:rsidR="00831ECF" w:rsidRPr="00AE35C1" w:rsidRDefault="00831ECF" w:rsidP="00FD5C8A">
      <w:pPr>
        <w:numPr>
          <w:ilvl w:val="0"/>
          <w:numId w:val="1"/>
        </w:numPr>
        <w:suppressAutoHyphens/>
        <w:spacing w:after="0" w:line="360" w:lineRule="auto"/>
        <w:jc w:val="both"/>
        <w:rPr>
          <w:b/>
          <w:color w:val="000000"/>
          <w:sz w:val="21"/>
          <w:szCs w:val="21"/>
        </w:rPr>
      </w:pPr>
      <w:r w:rsidRPr="00AE35C1">
        <w:rPr>
          <w:b/>
          <w:bCs/>
          <w:color w:val="000000"/>
          <w:sz w:val="21"/>
          <w:szCs w:val="21"/>
        </w:rPr>
        <w:t>wieloaspektowa (społeczna, gospodarcza, przestrzenna) integracja,</w:t>
      </w:r>
    </w:p>
    <w:p w:rsidR="00831ECF" w:rsidRPr="00AE35C1" w:rsidRDefault="00831ECF" w:rsidP="00FD5C8A">
      <w:pPr>
        <w:numPr>
          <w:ilvl w:val="0"/>
          <w:numId w:val="1"/>
        </w:numPr>
        <w:suppressAutoHyphens/>
        <w:spacing w:after="0" w:line="360" w:lineRule="auto"/>
        <w:jc w:val="both"/>
        <w:rPr>
          <w:b/>
          <w:color w:val="000000"/>
          <w:sz w:val="21"/>
          <w:szCs w:val="21"/>
        </w:rPr>
      </w:pPr>
      <w:r w:rsidRPr="00AE35C1">
        <w:rPr>
          <w:b/>
          <w:bCs/>
          <w:color w:val="000000"/>
          <w:sz w:val="21"/>
          <w:szCs w:val="21"/>
        </w:rPr>
        <w:t>partycypacyjne zarządzanie regionem.</w:t>
      </w:r>
    </w:p>
    <w:p w:rsidR="00831ECF" w:rsidRPr="00AE35C1" w:rsidRDefault="00831ECF" w:rsidP="00FD5C8A">
      <w:pPr>
        <w:spacing w:after="0" w:line="360" w:lineRule="auto"/>
        <w:rPr>
          <w:b/>
          <w:bCs/>
          <w:color w:val="000000"/>
          <w:sz w:val="21"/>
          <w:szCs w:val="21"/>
        </w:rPr>
      </w:pPr>
    </w:p>
    <w:p w:rsidR="00831ECF" w:rsidRPr="00AE35C1" w:rsidRDefault="00831ECF" w:rsidP="00FD5C8A">
      <w:pPr>
        <w:spacing w:after="0" w:line="360" w:lineRule="auto"/>
        <w:jc w:val="center"/>
        <w:rPr>
          <w:b/>
          <w:i/>
          <w:color w:val="000000"/>
          <w:sz w:val="21"/>
          <w:szCs w:val="21"/>
        </w:rPr>
      </w:pPr>
      <w:r w:rsidRPr="00AE35C1">
        <w:rPr>
          <w:b/>
          <w:bCs/>
          <w:i/>
          <w:color w:val="000000"/>
          <w:sz w:val="21"/>
          <w:szCs w:val="21"/>
        </w:rPr>
        <w:t>Cel nadrzędny Strategii DOLNY ŚLĄSK 2030</w:t>
      </w:r>
    </w:p>
    <w:p w:rsidR="00831ECF" w:rsidRPr="00AE35C1" w:rsidRDefault="00831ECF" w:rsidP="00FD5C8A">
      <w:pPr>
        <w:spacing w:after="0" w:line="360" w:lineRule="auto"/>
        <w:jc w:val="center"/>
        <w:rPr>
          <w:b/>
          <w:color w:val="365F91"/>
          <w:sz w:val="21"/>
          <w:szCs w:val="21"/>
        </w:rPr>
      </w:pPr>
      <w:r w:rsidRPr="00AE35C1">
        <w:rPr>
          <w:b/>
          <w:bCs/>
          <w:color w:val="365F91"/>
          <w:sz w:val="21"/>
          <w:szCs w:val="21"/>
        </w:rPr>
        <w:t>HARMONIJNY ROZWÓJ REGIONU</w:t>
      </w:r>
    </w:p>
    <w:p w:rsidR="00831ECF" w:rsidRPr="00AE35C1" w:rsidRDefault="00831ECF" w:rsidP="00FD5C8A">
      <w:pPr>
        <w:spacing w:after="0" w:line="360" w:lineRule="auto"/>
        <w:jc w:val="center"/>
        <w:rPr>
          <w:b/>
          <w:color w:val="365F91"/>
          <w:sz w:val="21"/>
          <w:szCs w:val="21"/>
        </w:rPr>
      </w:pPr>
      <w:r w:rsidRPr="00AE35C1">
        <w:rPr>
          <w:b/>
          <w:bCs/>
          <w:color w:val="365F91"/>
          <w:sz w:val="21"/>
          <w:szCs w:val="21"/>
        </w:rPr>
        <w:t>I WYSOKA JAKOŚĆ ŻYCIA DOLNOŚLĄSKIEJ SPOŁECZNOŚCI</w:t>
      </w:r>
    </w:p>
    <w:p w:rsidR="00831ECF" w:rsidRPr="00AE35C1" w:rsidRDefault="00831ECF" w:rsidP="00FD5C8A">
      <w:pPr>
        <w:spacing w:after="0" w:line="360" w:lineRule="auto"/>
        <w:rPr>
          <w:b/>
          <w:bCs/>
          <w:color w:val="404040"/>
          <w:sz w:val="21"/>
          <w:szCs w:val="21"/>
        </w:rPr>
      </w:pPr>
    </w:p>
    <w:p w:rsidR="00831ECF" w:rsidRPr="00AE35C1" w:rsidRDefault="00831ECF" w:rsidP="00FD5C8A">
      <w:pPr>
        <w:spacing w:after="0" w:line="360" w:lineRule="auto"/>
        <w:rPr>
          <w:b/>
          <w:i/>
          <w:color w:val="000000"/>
          <w:sz w:val="21"/>
          <w:szCs w:val="21"/>
        </w:rPr>
      </w:pPr>
      <w:r w:rsidRPr="00AE35C1">
        <w:rPr>
          <w:b/>
          <w:bCs/>
          <w:i/>
          <w:color w:val="000000"/>
          <w:sz w:val="21"/>
          <w:szCs w:val="21"/>
        </w:rPr>
        <w:t>Cele strategiczne</w:t>
      </w:r>
    </w:p>
    <w:p w:rsidR="00831ECF" w:rsidRPr="00AE35C1" w:rsidRDefault="00831ECF" w:rsidP="00FD5C8A">
      <w:pPr>
        <w:pStyle w:val="Akapitzlist"/>
        <w:numPr>
          <w:ilvl w:val="0"/>
          <w:numId w:val="4"/>
        </w:numPr>
        <w:suppressAutoHyphens/>
        <w:spacing w:after="0" w:line="360" w:lineRule="auto"/>
        <w:ind w:left="426"/>
        <w:contextualSpacing w:val="0"/>
        <w:jc w:val="both"/>
        <w:rPr>
          <w:b/>
          <w:color w:val="000000"/>
          <w:sz w:val="21"/>
          <w:szCs w:val="21"/>
        </w:rPr>
      </w:pPr>
      <w:r w:rsidRPr="00AE35C1">
        <w:rPr>
          <w:b/>
          <w:bCs/>
          <w:color w:val="000000"/>
          <w:sz w:val="21"/>
          <w:szCs w:val="21"/>
        </w:rPr>
        <w:t>efektywne wykorzystanie gospodarczego potencjału regionu</w:t>
      </w:r>
      <w:r w:rsidR="00A233B1" w:rsidRPr="00AE35C1">
        <w:rPr>
          <w:b/>
          <w:bCs/>
          <w:color w:val="000000"/>
          <w:sz w:val="21"/>
          <w:szCs w:val="21"/>
        </w:rPr>
        <w:t>,</w:t>
      </w:r>
    </w:p>
    <w:p w:rsidR="00831ECF" w:rsidRPr="00AE35C1" w:rsidRDefault="00831ECF" w:rsidP="00FD5C8A">
      <w:pPr>
        <w:pStyle w:val="Akapitzlist"/>
        <w:numPr>
          <w:ilvl w:val="0"/>
          <w:numId w:val="4"/>
        </w:numPr>
        <w:suppressAutoHyphens/>
        <w:spacing w:after="0" w:line="360" w:lineRule="auto"/>
        <w:ind w:left="426"/>
        <w:contextualSpacing w:val="0"/>
        <w:jc w:val="both"/>
        <w:rPr>
          <w:b/>
          <w:color w:val="000000"/>
          <w:sz w:val="21"/>
          <w:szCs w:val="21"/>
        </w:rPr>
      </w:pPr>
      <w:r w:rsidRPr="00AE35C1">
        <w:rPr>
          <w:b/>
          <w:bCs/>
          <w:color w:val="000000"/>
          <w:sz w:val="21"/>
          <w:szCs w:val="21"/>
        </w:rPr>
        <w:t>poprawa jakości i dostępności usług publicznych</w:t>
      </w:r>
      <w:r w:rsidR="00A233B1" w:rsidRPr="00AE35C1">
        <w:rPr>
          <w:b/>
          <w:bCs/>
          <w:color w:val="000000"/>
          <w:sz w:val="21"/>
          <w:szCs w:val="21"/>
        </w:rPr>
        <w:t>,</w:t>
      </w:r>
    </w:p>
    <w:p w:rsidR="00831ECF" w:rsidRPr="00AE35C1" w:rsidRDefault="00831ECF" w:rsidP="00FD5C8A">
      <w:pPr>
        <w:pStyle w:val="Akapitzlist"/>
        <w:numPr>
          <w:ilvl w:val="0"/>
          <w:numId w:val="4"/>
        </w:numPr>
        <w:suppressAutoHyphens/>
        <w:spacing w:after="0" w:line="360" w:lineRule="auto"/>
        <w:ind w:left="426"/>
        <w:contextualSpacing w:val="0"/>
        <w:jc w:val="both"/>
        <w:rPr>
          <w:b/>
          <w:color w:val="000000"/>
          <w:sz w:val="21"/>
          <w:szCs w:val="21"/>
        </w:rPr>
      </w:pPr>
      <w:r w:rsidRPr="00AE35C1">
        <w:rPr>
          <w:b/>
          <w:bCs/>
          <w:color w:val="000000"/>
          <w:sz w:val="21"/>
          <w:szCs w:val="21"/>
        </w:rPr>
        <w:t>wzmocnienie regionalnego kapitału ludzkiego i społecznego</w:t>
      </w:r>
      <w:r w:rsidR="00A233B1" w:rsidRPr="00AE35C1">
        <w:rPr>
          <w:b/>
          <w:bCs/>
          <w:color w:val="000000"/>
          <w:sz w:val="21"/>
          <w:szCs w:val="21"/>
        </w:rPr>
        <w:t>,</w:t>
      </w:r>
    </w:p>
    <w:p w:rsidR="00831ECF" w:rsidRPr="00AE35C1" w:rsidRDefault="00831ECF" w:rsidP="00FD5C8A">
      <w:pPr>
        <w:pStyle w:val="Akapitzlist"/>
        <w:numPr>
          <w:ilvl w:val="0"/>
          <w:numId w:val="4"/>
        </w:numPr>
        <w:suppressAutoHyphens/>
        <w:spacing w:after="0" w:line="360" w:lineRule="auto"/>
        <w:ind w:left="426"/>
        <w:contextualSpacing w:val="0"/>
        <w:jc w:val="both"/>
        <w:rPr>
          <w:b/>
          <w:color w:val="000000"/>
          <w:sz w:val="21"/>
          <w:szCs w:val="21"/>
        </w:rPr>
      </w:pPr>
      <w:r w:rsidRPr="00AE35C1">
        <w:rPr>
          <w:b/>
          <w:bCs/>
          <w:color w:val="000000"/>
          <w:sz w:val="21"/>
          <w:szCs w:val="21"/>
        </w:rPr>
        <w:t>odpowiedzialne wykorzystanie zasobów i ochrona walorów środowiska naturalnego</w:t>
      </w:r>
      <w:r w:rsidR="008C41B7" w:rsidRPr="00AE35C1">
        <w:rPr>
          <w:b/>
          <w:bCs/>
          <w:color w:val="000000"/>
          <w:sz w:val="21"/>
          <w:szCs w:val="21"/>
        </w:rPr>
        <w:t xml:space="preserve"> </w:t>
      </w:r>
      <w:r w:rsidRPr="00AE35C1">
        <w:rPr>
          <w:b/>
          <w:bCs/>
          <w:color w:val="000000"/>
          <w:sz w:val="21"/>
          <w:szCs w:val="21"/>
        </w:rPr>
        <w:t>i dziedzictwa kulturowego</w:t>
      </w:r>
      <w:r w:rsidR="00A233B1" w:rsidRPr="00AE35C1">
        <w:rPr>
          <w:b/>
          <w:bCs/>
          <w:color w:val="000000"/>
          <w:sz w:val="21"/>
          <w:szCs w:val="21"/>
        </w:rPr>
        <w:t>,</w:t>
      </w:r>
    </w:p>
    <w:p w:rsidR="00831ECF" w:rsidRPr="00AE35C1" w:rsidRDefault="00831ECF" w:rsidP="00FD5C8A">
      <w:pPr>
        <w:pStyle w:val="Akapitzlist"/>
        <w:numPr>
          <w:ilvl w:val="0"/>
          <w:numId w:val="4"/>
        </w:numPr>
        <w:suppressAutoHyphens/>
        <w:spacing w:after="0" w:line="360" w:lineRule="auto"/>
        <w:ind w:left="426"/>
        <w:contextualSpacing w:val="0"/>
        <w:jc w:val="both"/>
        <w:rPr>
          <w:b/>
          <w:color w:val="000000"/>
          <w:sz w:val="21"/>
          <w:szCs w:val="21"/>
        </w:rPr>
      </w:pPr>
      <w:r w:rsidRPr="00AE35C1">
        <w:rPr>
          <w:b/>
          <w:bCs/>
          <w:color w:val="000000"/>
          <w:sz w:val="21"/>
          <w:szCs w:val="21"/>
        </w:rPr>
        <w:t>wzmocnienie przestrzennej spójności regionu.</w:t>
      </w:r>
    </w:p>
    <w:p w:rsidR="00831ECF" w:rsidRPr="00AE35C1" w:rsidRDefault="00831ECF" w:rsidP="00FD5C8A">
      <w:pPr>
        <w:spacing w:after="0" w:line="360" w:lineRule="auto"/>
        <w:ind w:left="284"/>
        <w:rPr>
          <w:b/>
          <w:bCs/>
          <w:color w:val="000000"/>
          <w:sz w:val="21"/>
          <w:szCs w:val="21"/>
        </w:rPr>
      </w:pPr>
    </w:p>
    <w:p w:rsidR="00831ECF" w:rsidRPr="00AE35C1" w:rsidRDefault="00831ECF" w:rsidP="00B51B35">
      <w:pPr>
        <w:spacing w:after="0" w:line="360" w:lineRule="auto"/>
        <w:rPr>
          <w:b/>
          <w:i/>
          <w:color w:val="000000"/>
          <w:sz w:val="21"/>
          <w:szCs w:val="21"/>
        </w:rPr>
      </w:pPr>
      <w:r w:rsidRPr="00AE35C1">
        <w:rPr>
          <w:b/>
          <w:bCs/>
          <w:i/>
          <w:color w:val="000000"/>
          <w:sz w:val="21"/>
          <w:szCs w:val="21"/>
        </w:rPr>
        <w:t>Konkretyzacja celów strategicznych:</w:t>
      </w:r>
    </w:p>
    <w:p w:rsidR="00831ECF" w:rsidRPr="00AE35C1" w:rsidRDefault="00361F3C" w:rsidP="00FD5C8A">
      <w:pPr>
        <w:numPr>
          <w:ilvl w:val="0"/>
          <w:numId w:val="2"/>
        </w:numPr>
        <w:suppressAutoHyphens/>
        <w:spacing w:after="0" w:line="360" w:lineRule="auto"/>
        <w:ind w:hanging="294"/>
        <w:jc w:val="both"/>
        <w:rPr>
          <w:b/>
          <w:color w:val="000000"/>
          <w:sz w:val="21"/>
          <w:szCs w:val="21"/>
        </w:rPr>
      </w:pPr>
      <w:r w:rsidRPr="00AE35C1">
        <w:rPr>
          <w:b/>
          <w:bCs/>
          <w:color w:val="000000"/>
          <w:sz w:val="21"/>
          <w:szCs w:val="21"/>
        </w:rPr>
        <w:t>CELE OPERACYJNE</w:t>
      </w:r>
      <w:r w:rsidR="00A73066" w:rsidRPr="00AE35C1">
        <w:rPr>
          <w:b/>
          <w:bCs/>
          <w:color w:val="000000"/>
          <w:sz w:val="21"/>
          <w:szCs w:val="21"/>
        </w:rPr>
        <w:t xml:space="preserve"> (priorytety)</w:t>
      </w:r>
    </w:p>
    <w:p w:rsidR="00831ECF" w:rsidRPr="00AE35C1" w:rsidRDefault="00361F3C" w:rsidP="00B51B35">
      <w:pPr>
        <w:numPr>
          <w:ilvl w:val="1"/>
          <w:numId w:val="2"/>
        </w:numPr>
        <w:suppressAutoHyphens/>
        <w:spacing w:after="0" w:line="360" w:lineRule="auto"/>
        <w:jc w:val="both"/>
        <w:rPr>
          <w:b/>
          <w:color w:val="404040"/>
          <w:sz w:val="21"/>
          <w:szCs w:val="21"/>
        </w:rPr>
      </w:pPr>
      <w:r w:rsidRPr="00AE35C1">
        <w:rPr>
          <w:b/>
          <w:bCs/>
          <w:color w:val="000000"/>
          <w:sz w:val="21"/>
          <w:szCs w:val="21"/>
        </w:rPr>
        <w:t xml:space="preserve">KIERUNKI DZIAŁAŃ STRATEGICZNYCH </w:t>
      </w:r>
      <w:r w:rsidR="00A73066" w:rsidRPr="00AE35C1">
        <w:rPr>
          <w:b/>
          <w:bCs/>
          <w:color w:val="000000"/>
          <w:sz w:val="21"/>
          <w:szCs w:val="21"/>
        </w:rPr>
        <w:t>(grupy przedsięwzięć – zadań strategicznych)</w:t>
      </w:r>
    </w:p>
    <w:p w:rsidR="007324AE" w:rsidRPr="00AE35C1" w:rsidRDefault="007324AE">
      <w:pPr>
        <w:rPr>
          <w:b/>
          <w:color w:val="404040"/>
          <w:sz w:val="21"/>
          <w:szCs w:val="21"/>
        </w:rPr>
        <w:sectPr w:rsidR="007324AE" w:rsidRPr="00AE35C1" w:rsidSect="00E73C96">
          <w:headerReference w:type="default" r:id="rId82"/>
          <w:pgSz w:w="11906" w:h="16838"/>
          <w:pgMar w:top="1417" w:right="1417" w:bottom="1417" w:left="1417" w:header="708" w:footer="708" w:gutter="0"/>
          <w:cols w:space="708"/>
          <w:titlePg/>
          <w:docGrid w:linePitch="360"/>
        </w:sectPr>
      </w:pPr>
    </w:p>
    <w:tbl>
      <w:tblPr>
        <w:tblW w:w="15279" w:type="dxa"/>
        <w:tblInd w:w="-601"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shd w:val="clear" w:color="auto" w:fill="D9D9D9"/>
        <w:tblLook w:val="04A0"/>
      </w:tblPr>
      <w:tblGrid>
        <w:gridCol w:w="424"/>
        <w:gridCol w:w="1142"/>
        <w:gridCol w:w="285"/>
        <w:gridCol w:w="2544"/>
        <w:gridCol w:w="567"/>
        <w:gridCol w:w="10317"/>
      </w:tblGrid>
      <w:tr w:rsidR="001A3B8F" w:rsidRPr="00AE35C1" w:rsidTr="00363A97">
        <w:tc>
          <w:tcPr>
            <w:tcW w:w="1566" w:type="dxa"/>
            <w:gridSpan w:val="2"/>
            <w:tcBorders>
              <w:bottom w:val="single" w:sz="18" w:space="0" w:color="FFFFFF"/>
            </w:tcBorders>
            <w:shd w:val="clear" w:color="auto" w:fill="A6A6A6"/>
            <w:vAlign w:val="center"/>
          </w:tcPr>
          <w:p w:rsidR="007324AE" w:rsidRPr="00AE35C1" w:rsidRDefault="007324AE" w:rsidP="00363A97">
            <w:pPr>
              <w:pStyle w:val="Akapitzlist"/>
              <w:suppressAutoHyphens/>
              <w:spacing w:before="60" w:after="60" w:line="240" w:lineRule="auto"/>
              <w:ind w:left="0"/>
              <w:jc w:val="center"/>
              <w:rPr>
                <w:b/>
                <w:color w:val="FFFFFF"/>
                <w:sz w:val="20"/>
                <w:szCs w:val="21"/>
              </w:rPr>
            </w:pPr>
            <w:r w:rsidRPr="00AE35C1">
              <w:rPr>
                <w:b/>
                <w:bCs/>
                <w:color w:val="FFFFFF"/>
                <w:sz w:val="20"/>
                <w:szCs w:val="21"/>
              </w:rPr>
              <w:lastRenderedPageBreak/>
              <w:t>CEL STRATEGICZNY</w:t>
            </w:r>
          </w:p>
        </w:tc>
        <w:tc>
          <w:tcPr>
            <w:tcW w:w="2829" w:type="dxa"/>
            <w:gridSpan w:val="2"/>
            <w:tcBorders>
              <w:bottom w:val="single" w:sz="18" w:space="0" w:color="FFFFFF"/>
            </w:tcBorders>
            <w:shd w:val="clear" w:color="auto" w:fill="BFBFBF"/>
            <w:vAlign w:val="center"/>
          </w:tcPr>
          <w:p w:rsidR="007324AE" w:rsidRPr="00AE35C1" w:rsidRDefault="007324AE" w:rsidP="00363A97">
            <w:pPr>
              <w:suppressAutoHyphens/>
              <w:spacing w:before="60" w:after="60" w:line="240" w:lineRule="auto"/>
              <w:jc w:val="center"/>
              <w:rPr>
                <w:b/>
                <w:color w:val="FFFFFF"/>
                <w:sz w:val="20"/>
                <w:szCs w:val="21"/>
              </w:rPr>
            </w:pPr>
            <w:r w:rsidRPr="00AE35C1">
              <w:rPr>
                <w:b/>
                <w:color w:val="FFFFFF"/>
                <w:sz w:val="20"/>
                <w:szCs w:val="21"/>
              </w:rPr>
              <w:t>CEL OPERACYJNY</w:t>
            </w:r>
          </w:p>
        </w:tc>
        <w:tc>
          <w:tcPr>
            <w:tcW w:w="10884" w:type="dxa"/>
            <w:gridSpan w:val="2"/>
            <w:tcBorders>
              <w:bottom w:val="single" w:sz="18" w:space="0" w:color="FFFFFF"/>
            </w:tcBorders>
            <w:shd w:val="clear" w:color="auto" w:fill="D9D9D9"/>
            <w:vAlign w:val="center"/>
          </w:tcPr>
          <w:p w:rsidR="007324AE" w:rsidRPr="00AE35C1" w:rsidRDefault="007324AE" w:rsidP="00363A97">
            <w:pPr>
              <w:spacing w:before="60" w:after="60" w:line="240" w:lineRule="auto"/>
              <w:rPr>
                <w:b/>
                <w:color w:val="FFFFFF"/>
                <w:sz w:val="20"/>
                <w:szCs w:val="21"/>
              </w:rPr>
            </w:pPr>
            <w:r w:rsidRPr="00AE35C1">
              <w:rPr>
                <w:b/>
                <w:color w:val="FFFFFF"/>
                <w:sz w:val="20"/>
                <w:szCs w:val="21"/>
              </w:rPr>
              <w:t>KIERUNKI DZIAŁAŃ STRATEGICZNYCH:</w:t>
            </w:r>
          </w:p>
        </w:tc>
      </w:tr>
      <w:tr w:rsidR="001A3B8F" w:rsidRPr="00AE35C1" w:rsidTr="00363A97">
        <w:tc>
          <w:tcPr>
            <w:tcW w:w="424" w:type="dxa"/>
            <w:vMerge w:val="restart"/>
            <w:tcBorders>
              <w:right w:val="nil"/>
            </w:tcBorders>
            <w:shd w:val="clear" w:color="auto" w:fill="A6A6A6"/>
          </w:tcPr>
          <w:p w:rsidR="007324AE" w:rsidRPr="00AE35C1" w:rsidRDefault="007324AE" w:rsidP="00363A97">
            <w:pPr>
              <w:pStyle w:val="Akapitzlist"/>
              <w:numPr>
                <w:ilvl w:val="0"/>
                <w:numId w:val="62"/>
              </w:numPr>
              <w:spacing w:before="60" w:after="60" w:line="240" w:lineRule="auto"/>
              <w:ind w:left="-23" w:firstLine="0"/>
              <w:rPr>
                <w:b/>
                <w:bCs/>
                <w:sz w:val="21"/>
                <w:szCs w:val="21"/>
              </w:rPr>
            </w:pPr>
          </w:p>
        </w:tc>
        <w:tc>
          <w:tcPr>
            <w:tcW w:w="1142" w:type="dxa"/>
            <w:vMerge w:val="restart"/>
            <w:tcBorders>
              <w:left w:val="nil"/>
            </w:tcBorders>
            <w:shd w:val="clear" w:color="auto" w:fill="A6A6A6"/>
            <w:textDirection w:val="btLr"/>
          </w:tcPr>
          <w:p w:rsidR="007324AE" w:rsidRPr="00AE35C1" w:rsidRDefault="007324AE" w:rsidP="00363A97">
            <w:pPr>
              <w:pStyle w:val="Akapitzlist"/>
              <w:spacing w:before="60" w:after="60" w:line="240" w:lineRule="auto"/>
              <w:ind w:left="-23" w:right="113"/>
              <w:jc w:val="center"/>
              <w:rPr>
                <w:b/>
                <w:bCs/>
                <w:sz w:val="21"/>
                <w:szCs w:val="21"/>
              </w:rPr>
            </w:pPr>
            <w:r w:rsidRPr="00AE35C1">
              <w:rPr>
                <w:b/>
                <w:bCs/>
                <w:sz w:val="21"/>
                <w:szCs w:val="21"/>
              </w:rPr>
              <w:t>EFEKTYWNE WYKORZYSTANIE GOSPODARCZEGO POTENCJAŁU REGIONU</w:t>
            </w:r>
          </w:p>
        </w:tc>
        <w:tc>
          <w:tcPr>
            <w:tcW w:w="285" w:type="dxa"/>
            <w:vMerge w:val="restart"/>
            <w:tcBorders>
              <w:right w:val="nil"/>
            </w:tcBorders>
            <w:shd w:val="clear" w:color="auto" w:fill="BFBFBF"/>
          </w:tcPr>
          <w:p w:rsidR="007324AE" w:rsidRPr="00AE35C1" w:rsidRDefault="007324AE" w:rsidP="00363A97">
            <w:pPr>
              <w:pStyle w:val="Tekstkomentarza"/>
              <w:numPr>
                <w:ilvl w:val="1"/>
                <w:numId w:val="5"/>
              </w:numPr>
              <w:spacing w:before="60" w:after="60"/>
              <w:ind w:left="-108" w:hanging="6"/>
              <w:jc w:val="right"/>
              <w:rPr>
                <w:rFonts w:ascii="Calibri" w:hAnsi="Calibri"/>
                <w:b/>
                <w:color w:val="000000"/>
                <w:sz w:val="18"/>
              </w:rPr>
            </w:pPr>
          </w:p>
        </w:tc>
        <w:tc>
          <w:tcPr>
            <w:tcW w:w="2544" w:type="dxa"/>
            <w:vMerge w:val="restart"/>
            <w:tcBorders>
              <w:left w:val="nil"/>
            </w:tcBorders>
            <w:shd w:val="clear" w:color="auto" w:fill="BFBFBF"/>
          </w:tcPr>
          <w:p w:rsidR="007324AE" w:rsidRPr="00AE35C1" w:rsidRDefault="007324AE" w:rsidP="00363A97">
            <w:pPr>
              <w:pStyle w:val="Tekstkomentarza"/>
              <w:spacing w:before="60" w:after="60"/>
              <w:ind w:left="168" w:firstLine="0"/>
              <w:jc w:val="left"/>
              <w:rPr>
                <w:rFonts w:ascii="Calibri" w:hAnsi="Calibri"/>
                <w:b/>
                <w:color w:val="000000"/>
                <w:sz w:val="18"/>
              </w:rPr>
            </w:pPr>
            <w:r w:rsidRPr="00AE35C1">
              <w:rPr>
                <w:rFonts w:ascii="Calibri" w:hAnsi="Calibri"/>
                <w:b/>
                <w:color w:val="000000"/>
                <w:sz w:val="18"/>
              </w:rPr>
              <w:t>Wspieranie endogenicznych potencjałów gospodarczych subregionów</w:t>
            </w:r>
          </w:p>
        </w:tc>
        <w:tc>
          <w:tcPr>
            <w:tcW w:w="567" w:type="dxa"/>
            <w:tcBorders>
              <w:right w:val="nil"/>
            </w:tcBorders>
            <w:shd w:val="clear" w:color="auto" w:fill="D9D9D9"/>
          </w:tcPr>
          <w:p w:rsidR="007324AE" w:rsidRPr="00AE35C1" w:rsidRDefault="007324AE" w:rsidP="00363A97">
            <w:pPr>
              <w:pStyle w:val="Bezodstpw"/>
              <w:numPr>
                <w:ilvl w:val="2"/>
                <w:numId w:val="5"/>
              </w:numPr>
              <w:spacing w:before="60" w:after="60"/>
              <w:ind w:left="0" w:firstLine="0"/>
              <w:jc w:val="both"/>
              <w:rPr>
                <w:color w:val="000000"/>
                <w:sz w:val="16"/>
                <w:szCs w:val="18"/>
              </w:rPr>
            </w:pPr>
          </w:p>
        </w:tc>
        <w:tc>
          <w:tcPr>
            <w:tcW w:w="10317" w:type="dxa"/>
            <w:tcBorders>
              <w:left w:val="nil"/>
            </w:tcBorders>
            <w:shd w:val="clear" w:color="auto" w:fill="D9D9D9"/>
          </w:tcPr>
          <w:p w:rsidR="007324AE" w:rsidRPr="00AE35C1" w:rsidRDefault="007324AE" w:rsidP="00363A97">
            <w:pPr>
              <w:pStyle w:val="Bezodstpw"/>
              <w:spacing w:before="60" w:after="60"/>
              <w:jc w:val="both"/>
              <w:rPr>
                <w:color w:val="000000"/>
                <w:sz w:val="16"/>
                <w:szCs w:val="18"/>
              </w:rPr>
            </w:pPr>
            <w:r w:rsidRPr="00AE35C1">
              <w:rPr>
                <w:color w:val="000000"/>
                <w:sz w:val="16"/>
                <w:szCs w:val="18"/>
              </w:rPr>
              <w:t>Wspieranie obszarów o trudnych warunkach rozwojowych, zagrożonych wystąpieniem strukturalnego bezrobocia oraz o niskim PKB.</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34"/>
              <w:jc w:val="both"/>
              <w:rPr>
                <w:b/>
                <w:color w:val="404040"/>
                <w:sz w:val="18"/>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7324AE" w:rsidRPr="00AE35C1" w:rsidRDefault="007324AE" w:rsidP="00363A97">
            <w:pPr>
              <w:pStyle w:val="Bezodstpw"/>
              <w:numPr>
                <w:ilvl w:val="2"/>
                <w:numId w:val="5"/>
              </w:numPr>
              <w:spacing w:before="60" w:after="60"/>
              <w:ind w:left="33" w:firstLine="0"/>
              <w:jc w:val="both"/>
              <w:rPr>
                <w:color w:val="000000"/>
                <w:sz w:val="16"/>
                <w:szCs w:val="18"/>
              </w:rPr>
            </w:pPr>
          </w:p>
        </w:tc>
        <w:tc>
          <w:tcPr>
            <w:tcW w:w="10317" w:type="dxa"/>
            <w:tcBorders>
              <w:left w:val="nil"/>
            </w:tcBorders>
            <w:shd w:val="clear" w:color="auto" w:fill="D9D9D9"/>
          </w:tcPr>
          <w:p w:rsidR="007324AE" w:rsidRPr="00AE35C1" w:rsidRDefault="007324AE" w:rsidP="00363A97">
            <w:pPr>
              <w:pStyle w:val="Bezodstpw"/>
              <w:spacing w:before="60" w:after="60"/>
              <w:jc w:val="both"/>
              <w:rPr>
                <w:color w:val="000000"/>
                <w:sz w:val="16"/>
                <w:szCs w:val="18"/>
              </w:rPr>
            </w:pPr>
            <w:r w:rsidRPr="00AE35C1">
              <w:rPr>
                <w:color w:val="000000"/>
                <w:sz w:val="16"/>
                <w:szCs w:val="18"/>
              </w:rPr>
              <w:t xml:space="preserve">Wzmocnienie gospodarcze ośrodków </w:t>
            </w:r>
            <w:r w:rsidR="001E47CF">
              <w:rPr>
                <w:color w:val="000000"/>
                <w:sz w:val="16"/>
                <w:szCs w:val="18"/>
              </w:rPr>
              <w:t xml:space="preserve">regionalnych i </w:t>
            </w:r>
            <w:proofErr w:type="spellStart"/>
            <w:r w:rsidRPr="00AE35C1">
              <w:rPr>
                <w:color w:val="000000"/>
                <w:sz w:val="16"/>
                <w:szCs w:val="18"/>
              </w:rPr>
              <w:t>subregionalnych</w:t>
            </w:r>
            <w:proofErr w:type="spellEnd"/>
            <w:r w:rsidRPr="00AE35C1">
              <w:rPr>
                <w:color w:val="000000"/>
                <w:sz w:val="16"/>
                <w:szCs w:val="18"/>
              </w:rPr>
              <w:t>.</w:t>
            </w:r>
          </w:p>
        </w:tc>
      </w:tr>
      <w:tr w:rsidR="00392B12" w:rsidRPr="00AE35C1" w:rsidTr="00363A97">
        <w:tc>
          <w:tcPr>
            <w:tcW w:w="424" w:type="dxa"/>
            <w:vMerge/>
            <w:tcBorders>
              <w:right w:val="nil"/>
            </w:tcBorders>
            <w:shd w:val="clear" w:color="auto" w:fill="A6A6A6"/>
          </w:tcPr>
          <w:p w:rsidR="00392B12" w:rsidRPr="00AE35C1" w:rsidRDefault="00392B12"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392B12" w:rsidRPr="00AE35C1" w:rsidRDefault="00392B12"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392B12" w:rsidRPr="00AE35C1" w:rsidRDefault="00392B12" w:rsidP="00363A97">
            <w:pPr>
              <w:suppressAutoHyphens/>
              <w:spacing w:before="60" w:after="60" w:line="240" w:lineRule="auto"/>
              <w:ind w:left="34"/>
              <w:jc w:val="both"/>
              <w:rPr>
                <w:b/>
                <w:color w:val="404040"/>
                <w:sz w:val="18"/>
                <w:szCs w:val="20"/>
              </w:rPr>
            </w:pPr>
          </w:p>
        </w:tc>
        <w:tc>
          <w:tcPr>
            <w:tcW w:w="2544" w:type="dxa"/>
            <w:vMerge/>
            <w:tcBorders>
              <w:left w:val="nil"/>
            </w:tcBorders>
            <w:shd w:val="clear" w:color="auto" w:fill="BFBFBF"/>
          </w:tcPr>
          <w:p w:rsidR="00392B12" w:rsidRPr="00AE35C1" w:rsidRDefault="00392B12"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392B12" w:rsidRPr="00AE35C1" w:rsidRDefault="00392B12" w:rsidP="00363A97">
            <w:pPr>
              <w:pStyle w:val="Bezodstpw"/>
              <w:numPr>
                <w:ilvl w:val="2"/>
                <w:numId w:val="5"/>
              </w:numPr>
              <w:spacing w:before="60" w:after="60"/>
              <w:ind w:left="0" w:firstLine="33"/>
              <w:jc w:val="both"/>
              <w:rPr>
                <w:color w:val="000000"/>
                <w:sz w:val="16"/>
                <w:szCs w:val="18"/>
              </w:rPr>
            </w:pPr>
          </w:p>
        </w:tc>
        <w:tc>
          <w:tcPr>
            <w:tcW w:w="10317" w:type="dxa"/>
            <w:tcBorders>
              <w:left w:val="nil"/>
            </w:tcBorders>
            <w:shd w:val="clear" w:color="auto" w:fill="D9D9D9"/>
          </w:tcPr>
          <w:p w:rsidR="00392B12" w:rsidRPr="00AE35C1" w:rsidRDefault="00392B12" w:rsidP="00363A97">
            <w:pPr>
              <w:pStyle w:val="Bezodstpw"/>
              <w:spacing w:before="60" w:after="60"/>
              <w:jc w:val="both"/>
              <w:rPr>
                <w:color w:val="000000"/>
                <w:sz w:val="16"/>
                <w:szCs w:val="18"/>
              </w:rPr>
            </w:pPr>
            <w:r w:rsidRPr="00AE35C1">
              <w:rPr>
                <w:color w:val="000000"/>
                <w:sz w:val="16"/>
                <w:szCs w:val="18"/>
              </w:rPr>
              <w:t>Wzmocnienie roli MŚP, w tym firm rzemieślniczych i rodzinnych w aktywizacji gospodarczej subregionów</w:t>
            </w:r>
            <w:r w:rsidR="004D0E36" w:rsidRPr="00AE35C1">
              <w:rPr>
                <w:color w:val="000000"/>
                <w:sz w:val="16"/>
                <w:szCs w:val="18"/>
              </w:rPr>
              <w:t>.</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34"/>
              <w:jc w:val="both"/>
              <w:rPr>
                <w:b/>
                <w:color w:val="404040"/>
                <w:sz w:val="18"/>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7324AE" w:rsidRPr="00AE35C1" w:rsidRDefault="007324AE" w:rsidP="00363A97">
            <w:pPr>
              <w:pStyle w:val="Bezodstpw"/>
              <w:numPr>
                <w:ilvl w:val="2"/>
                <w:numId w:val="5"/>
              </w:numPr>
              <w:spacing w:before="60" w:after="60"/>
              <w:ind w:left="0" w:firstLine="33"/>
              <w:jc w:val="both"/>
              <w:rPr>
                <w:color w:val="000000"/>
                <w:sz w:val="16"/>
                <w:szCs w:val="18"/>
              </w:rPr>
            </w:pPr>
          </w:p>
        </w:tc>
        <w:tc>
          <w:tcPr>
            <w:tcW w:w="10317" w:type="dxa"/>
            <w:tcBorders>
              <w:left w:val="nil"/>
            </w:tcBorders>
            <w:shd w:val="clear" w:color="auto" w:fill="D9D9D9"/>
          </w:tcPr>
          <w:p w:rsidR="007324AE" w:rsidRPr="00AE35C1" w:rsidRDefault="007324AE" w:rsidP="00363A97">
            <w:pPr>
              <w:pStyle w:val="Bezodstpw"/>
              <w:spacing w:before="60" w:after="60"/>
              <w:jc w:val="both"/>
              <w:rPr>
                <w:color w:val="000000"/>
                <w:sz w:val="16"/>
                <w:szCs w:val="18"/>
              </w:rPr>
            </w:pPr>
            <w:r w:rsidRPr="00AE35C1">
              <w:rPr>
                <w:color w:val="000000"/>
                <w:sz w:val="16"/>
                <w:szCs w:val="18"/>
              </w:rPr>
              <w:t xml:space="preserve">Różnicowanie monokulturowości </w:t>
            </w:r>
            <w:r w:rsidR="008005B2">
              <w:rPr>
                <w:color w:val="000000"/>
                <w:sz w:val="16"/>
                <w:szCs w:val="18"/>
              </w:rPr>
              <w:t>regionalnych</w:t>
            </w:r>
            <w:r w:rsidR="00D14011">
              <w:rPr>
                <w:color w:val="000000"/>
                <w:sz w:val="16"/>
                <w:szCs w:val="18"/>
              </w:rPr>
              <w:t xml:space="preserve"> i </w:t>
            </w:r>
            <w:proofErr w:type="spellStart"/>
            <w:r w:rsidRPr="00AE35C1">
              <w:rPr>
                <w:color w:val="000000"/>
                <w:sz w:val="16"/>
                <w:szCs w:val="18"/>
              </w:rPr>
              <w:t>subregionalnych</w:t>
            </w:r>
            <w:proofErr w:type="spellEnd"/>
            <w:r w:rsidRPr="00AE35C1">
              <w:rPr>
                <w:color w:val="000000"/>
                <w:sz w:val="16"/>
                <w:szCs w:val="18"/>
              </w:rPr>
              <w:t xml:space="preserve"> ośrodków gospodarczych.</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34"/>
              <w:jc w:val="both"/>
              <w:rPr>
                <w:b/>
                <w:color w:val="404040"/>
                <w:sz w:val="18"/>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7324AE" w:rsidRPr="00AE35C1" w:rsidRDefault="007324AE" w:rsidP="00363A97">
            <w:pPr>
              <w:pStyle w:val="Bezodstpw"/>
              <w:numPr>
                <w:ilvl w:val="2"/>
                <w:numId w:val="5"/>
              </w:numPr>
              <w:spacing w:before="60" w:after="60"/>
              <w:ind w:left="0" w:firstLine="33"/>
              <w:jc w:val="both"/>
              <w:rPr>
                <w:color w:val="000000"/>
                <w:sz w:val="16"/>
                <w:szCs w:val="18"/>
              </w:rPr>
            </w:pPr>
          </w:p>
        </w:tc>
        <w:tc>
          <w:tcPr>
            <w:tcW w:w="10317" w:type="dxa"/>
            <w:tcBorders>
              <w:left w:val="nil"/>
            </w:tcBorders>
            <w:shd w:val="clear" w:color="auto" w:fill="D9D9D9"/>
          </w:tcPr>
          <w:p w:rsidR="007324AE" w:rsidRPr="00AE35C1" w:rsidRDefault="007324AE" w:rsidP="00363A97">
            <w:pPr>
              <w:pStyle w:val="Bezodstpw"/>
              <w:spacing w:before="60" w:after="60"/>
              <w:jc w:val="both"/>
              <w:rPr>
                <w:color w:val="000000"/>
                <w:sz w:val="16"/>
                <w:szCs w:val="18"/>
              </w:rPr>
            </w:pPr>
            <w:r w:rsidRPr="00AE35C1">
              <w:rPr>
                <w:color w:val="000000"/>
                <w:sz w:val="16"/>
                <w:szCs w:val="18"/>
              </w:rPr>
              <w:t>Rozwój lokalnych rynków żywności i wzrost konkurencyjności sektora rolno – spożywczego m.in. w oparciu o żywność wysokiej jakości.</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34"/>
              <w:jc w:val="both"/>
              <w:rPr>
                <w:b/>
                <w:color w:val="404040"/>
                <w:sz w:val="18"/>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7324AE" w:rsidRPr="00AE35C1" w:rsidRDefault="007324AE" w:rsidP="00363A97">
            <w:pPr>
              <w:pStyle w:val="Bezodstpw"/>
              <w:numPr>
                <w:ilvl w:val="2"/>
                <w:numId w:val="5"/>
              </w:numPr>
              <w:spacing w:before="60" w:after="60"/>
              <w:ind w:left="0" w:firstLine="33"/>
              <w:jc w:val="both"/>
              <w:rPr>
                <w:color w:val="000000"/>
                <w:sz w:val="16"/>
                <w:szCs w:val="18"/>
              </w:rPr>
            </w:pPr>
          </w:p>
        </w:tc>
        <w:tc>
          <w:tcPr>
            <w:tcW w:w="10317" w:type="dxa"/>
            <w:tcBorders>
              <w:left w:val="nil"/>
            </w:tcBorders>
            <w:shd w:val="clear" w:color="auto" w:fill="D9D9D9"/>
          </w:tcPr>
          <w:p w:rsidR="007324AE" w:rsidRPr="00AE35C1" w:rsidRDefault="007324AE" w:rsidP="00363A97">
            <w:pPr>
              <w:pStyle w:val="Bezodstpw"/>
              <w:spacing w:before="60" w:after="60"/>
              <w:jc w:val="both"/>
              <w:rPr>
                <w:color w:val="000000"/>
                <w:sz w:val="16"/>
                <w:szCs w:val="18"/>
              </w:rPr>
            </w:pPr>
            <w:r w:rsidRPr="00AE35C1">
              <w:rPr>
                <w:color w:val="000000"/>
                <w:sz w:val="16"/>
                <w:szCs w:val="18"/>
              </w:rPr>
              <w:t>Promowanie regionu jako atrakcyjnego miejsca dla turystyki i wypoczynku.</w:t>
            </w:r>
          </w:p>
        </w:tc>
      </w:tr>
      <w:tr w:rsidR="005B2214" w:rsidRPr="00AE35C1" w:rsidTr="00363A97">
        <w:tc>
          <w:tcPr>
            <w:tcW w:w="424" w:type="dxa"/>
            <w:vMerge/>
            <w:tcBorders>
              <w:right w:val="nil"/>
            </w:tcBorders>
            <w:shd w:val="clear" w:color="auto" w:fill="A6A6A6"/>
          </w:tcPr>
          <w:p w:rsidR="005B2214" w:rsidRPr="00AE35C1" w:rsidRDefault="005B2214"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5B2214" w:rsidRPr="00AE35C1" w:rsidRDefault="005B2214" w:rsidP="00363A97">
            <w:pPr>
              <w:suppressAutoHyphens/>
              <w:spacing w:before="60" w:after="60" w:line="240" w:lineRule="auto"/>
              <w:ind w:left="-23"/>
              <w:jc w:val="both"/>
              <w:rPr>
                <w:b/>
                <w:sz w:val="21"/>
                <w:szCs w:val="21"/>
              </w:rPr>
            </w:pPr>
          </w:p>
        </w:tc>
        <w:tc>
          <w:tcPr>
            <w:tcW w:w="285" w:type="dxa"/>
            <w:vMerge w:val="restart"/>
            <w:tcBorders>
              <w:right w:val="nil"/>
            </w:tcBorders>
            <w:shd w:val="clear" w:color="auto" w:fill="BFBFBF"/>
          </w:tcPr>
          <w:p w:rsidR="005B2214" w:rsidRPr="00AE35C1" w:rsidRDefault="005B2214" w:rsidP="00363A97">
            <w:pPr>
              <w:pStyle w:val="Akapitzlist"/>
              <w:numPr>
                <w:ilvl w:val="1"/>
                <w:numId w:val="5"/>
              </w:numPr>
              <w:suppressAutoHyphens/>
              <w:spacing w:before="60" w:after="60" w:line="240" w:lineRule="auto"/>
              <w:ind w:left="-108" w:firstLine="0"/>
              <w:jc w:val="both"/>
              <w:rPr>
                <w:b/>
                <w:color w:val="000000"/>
                <w:sz w:val="18"/>
                <w:szCs w:val="20"/>
              </w:rPr>
            </w:pPr>
          </w:p>
        </w:tc>
        <w:tc>
          <w:tcPr>
            <w:tcW w:w="2544" w:type="dxa"/>
            <w:vMerge w:val="restart"/>
            <w:tcBorders>
              <w:left w:val="nil"/>
            </w:tcBorders>
            <w:shd w:val="clear" w:color="auto" w:fill="BFBFBF"/>
          </w:tcPr>
          <w:p w:rsidR="005B2214" w:rsidRPr="00AE35C1" w:rsidRDefault="005B2214" w:rsidP="00363A97">
            <w:pPr>
              <w:pStyle w:val="Akapitzlist"/>
              <w:suppressAutoHyphens/>
              <w:spacing w:before="60" w:after="60" w:line="240" w:lineRule="auto"/>
              <w:ind w:left="168"/>
              <w:rPr>
                <w:b/>
                <w:color w:val="000000"/>
                <w:sz w:val="18"/>
                <w:szCs w:val="20"/>
              </w:rPr>
            </w:pPr>
            <w:r w:rsidRPr="00AE35C1">
              <w:rPr>
                <w:b/>
                <w:color w:val="000000"/>
                <w:sz w:val="18"/>
                <w:szCs w:val="20"/>
              </w:rPr>
              <w:t xml:space="preserve">Wzmocnienie krajowej </w:t>
            </w:r>
            <w:r w:rsidRPr="00AE35C1">
              <w:rPr>
                <w:b/>
                <w:color w:val="000000"/>
                <w:sz w:val="18"/>
                <w:szCs w:val="20"/>
              </w:rPr>
              <w:br/>
              <w:t xml:space="preserve">i europejskiej konkurencyjności regionu </w:t>
            </w:r>
            <w:r w:rsidR="00E71DD2">
              <w:rPr>
                <w:b/>
                <w:color w:val="000000"/>
                <w:sz w:val="18"/>
                <w:szCs w:val="20"/>
              </w:rPr>
              <w:br/>
            </w:r>
            <w:r w:rsidRPr="00AE35C1">
              <w:rPr>
                <w:b/>
                <w:color w:val="000000"/>
                <w:sz w:val="18"/>
                <w:szCs w:val="20"/>
              </w:rPr>
              <w:t>i jego marki</w:t>
            </w:r>
          </w:p>
        </w:tc>
        <w:tc>
          <w:tcPr>
            <w:tcW w:w="567" w:type="dxa"/>
            <w:tcBorders>
              <w:right w:val="nil"/>
            </w:tcBorders>
            <w:shd w:val="clear" w:color="auto" w:fill="D9D9D9"/>
          </w:tcPr>
          <w:p w:rsidR="005B2214" w:rsidRPr="00AE35C1" w:rsidRDefault="005B2214" w:rsidP="00363A97">
            <w:pPr>
              <w:pStyle w:val="Akapitzlist"/>
              <w:numPr>
                <w:ilvl w:val="2"/>
                <w:numId w:val="5"/>
              </w:numPr>
              <w:suppressAutoHyphens/>
              <w:spacing w:before="60" w:after="60" w:line="240" w:lineRule="auto"/>
              <w:ind w:left="0" w:firstLine="7"/>
              <w:contextualSpacing w:val="0"/>
              <w:jc w:val="both"/>
              <w:rPr>
                <w:color w:val="000000"/>
                <w:sz w:val="16"/>
                <w:szCs w:val="18"/>
              </w:rPr>
            </w:pPr>
          </w:p>
        </w:tc>
        <w:tc>
          <w:tcPr>
            <w:tcW w:w="10317" w:type="dxa"/>
            <w:tcBorders>
              <w:left w:val="nil"/>
            </w:tcBorders>
            <w:shd w:val="clear" w:color="auto" w:fill="D9D9D9"/>
          </w:tcPr>
          <w:p w:rsidR="005B2214" w:rsidRPr="00AE35C1" w:rsidRDefault="005B2214" w:rsidP="00363A97">
            <w:pPr>
              <w:pStyle w:val="Akapitzlist"/>
              <w:suppressAutoHyphens/>
              <w:spacing w:before="60" w:after="60" w:line="240" w:lineRule="auto"/>
              <w:ind w:left="0"/>
              <w:contextualSpacing w:val="0"/>
              <w:jc w:val="both"/>
              <w:rPr>
                <w:b/>
                <w:color w:val="000000"/>
                <w:sz w:val="16"/>
                <w:szCs w:val="18"/>
              </w:rPr>
            </w:pPr>
            <w:r w:rsidRPr="00AE35C1">
              <w:rPr>
                <w:color w:val="000000"/>
                <w:sz w:val="16"/>
                <w:szCs w:val="18"/>
              </w:rPr>
              <w:t>Promocja gospodarcza, wspieranie przedsiębiorczości i rozwój usług otoczenia biznesu.</w:t>
            </w:r>
          </w:p>
        </w:tc>
      </w:tr>
      <w:tr w:rsidR="005B2214" w:rsidRPr="00AE35C1" w:rsidTr="00363A97">
        <w:tc>
          <w:tcPr>
            <w:tcW w:w="424" w:type="dxa"/>
            <w:vMerge/>
            <w:tcBorders>
              <w:right w:val="nil"/>
            </w:tcBorders>
            <w:shd w:val="clear" w:color="auto" w:fill="A6A6A6"/>
          </w:tcPr>
          <w:p w:rsidR="005B2214" w:rsidRPr="00AE35C1" w:rsidRDefault="005B2214"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5B2214" w:rsidRPr="00AE35C1" w:rsidRDefault="005B2214"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5B2214" w:rsidRPr="00AE35C1" w:rsidRDefault="005B2214" w:rsidP="00363A97">
            <w:pPr>
              <w:suppressAutoHyphens/>
              <w:spacing w:before="60" w:after="60" w:line="240" w:lineRule="auto"/>
              <w:ind w:left="-108"/>
              <w:jc w:val="both"/>
              <w:rPr>
                <w:b/>
                <w:color w:val="404040"/>
                <w:sz w:val="18"/>
                <w:szCs w:val="20"/>
              </w:rPr>
            </w:pPr>
          </w:p>
        </w:tc>
        <w:tc>
          <w:tcPr>
            <w:tcW w:w="2544" w:type="dxa"/>
            <w:vMerge/>
            <w:tcBorders>
              <w:left w:val="nil"/>
            </w:tcBorders>
            <w:shd w:val="clear" w:color="auto" w:fill="BFBFBF"/>
          </w:tcPr>
          <w:p w:rsidR="005B2214" w:rsidRPr="00AE35C1" w:rsidRDefault="005B2214"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5B2214" w:rsidRPr="00AE35C1" w:rsidRDefault="005B2214" w:rsidP="00363A97">
            <w:pPr>
              <w:pStyle w:val="Akapitzlist"/>
              <w:numPr>
                <w:ilvl w:val="2"/>
                <w:numId w:val="5"/>
              </w:numPr>
              <w:suppressAutoHyphens/>
              <w:spacing w:before="60" w:after="60" w:line="240" w:lineRule="auto"/>
              <w:ind w:left="0" w:firstLine="0"/>
              <w:contextualSpacing w:val="0"/>
              <w:jc w:val="both"/>
              <w:rPr>
                <w:color w:val="000000"/>
                <w:sz w:val="16"/>
                <w:szCs w:val="18"/>
              </w:rPr>
            </w:pPr>
          </w:p>
        </w:tc>
        <w:tc>
          <w:tcPr>
            <w:tcW w:w="10317" w:type="dxa"/>
            <w:tcBorders>
              <w:left w:val="nil"/>
            </w:tcBorders>
            <w:shd w:val="clear" w:color="auto" w:fill="D9D9D9"/>
          </w:tcPr>
          <w:p w:rsidR="005B2214" w:rsidRPr="00AE35C1" w:rsidRDefault="005B2214" w:rsidP="00363A97">
            <w:pPr>
              <w:pStyle w:val="Akapitzlist"/>
              <w:suppressAutoHyphens/>
              <w:spacing w:before="60" w:after="60" w:line="240" w:lineRule="auto"/>
              <w:ind w:left="0"/>
              <w:contextualSpacing w:val="0"/>
              <w:jc w:val="both"/>
              <w:rPr>
                <w:b/>
                <w:color w:val="000000"/>
                <w:sz w:val="16"/>
                <w:szCs w:val="18"/>
              </w:rPr>
            </w:pPr>
            <w:r w:rsidRPr="00AE35C1">
              <w:rPr>
                <w:color w:val="000000"/>
                <w:sz w:val="16"/>
                <w:szCs w:val="18"/>
              </w:rPr>
              <w:t>Rozwój sieci powiązań gospodarczych, w tym inicjatyw klastrowych.</w:t>
            </w:r>
          </w:p>
        </w:tc>
      </w:tr>
      <w:tr w:rsidR="005B2214" w:rsidRPr="00AE35C1" w:rsidTr="00363A97">
        <w:tc>
          <w:tcPr>
            <w:tcW w:w="424" w:type="dxa"/>
            <w:vMerge/>
            <w:tcBorders>
              <w:right w:val="nil"/>
            </w:tcBorders>
            <w:shd w:val="clear" w:color="auto" w:fill="A6A6A6"/>
          </w:tcPr>
          <w:p w:rsidR="005B2214" w:rsidRPr="00AE35C1" w:rsidRDefault="005B2214"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5B2214" w:rsidRPr="00AE35C1" w:rsidRDefault="005B2214"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5B2214" w:rsidRPr="00AE35C1" w:rsidRDefault="005B2214" w:rsidP="00363A97">
            <w:pPr>
              <w:suppressAutoHyphens/>
              <w:spacing w:before="60" w:after="60" w:line="240" w:lineRule="auto"/>
              <w:ind w:left="-108"/>
              <w:jc w:val="both"/>
              <w:rPr>
                <w:b/>
                <w:color w:val="404040"/>
                <w:sz w:val="18"/>
                <w:szCs w:val="20"/>
              </w:rPr>
            </w:pPr>
          </w:p>
        </w:tc>
        <w:tc>
          <w:tcPr>
            <w:tcW w:w="2544" w:type="dxa"/>
            <w:vMerge/>
            <w:tcBorders>
              <w:left w:val="nil"/>
            </w:tcBorders>
            <w:shd w:val="clear" w:color="auto" w:fill="BFBFBF"/>
          </w:tcPr>
          <w:p w:rsidR="005B2214" w:rsidRPr="00AE35C1" w:rsidRDefault="005B2214"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5B2214" w:rsidRPr="00AE35C1" w:rsidRDefault="005B2214" w:rsidP="00363A97">
            <w:pPr>
              <w:pStyle w:val="Akapitzlist"/>
              <w:numPr>
                <w:ilvl w:val="2"/>
                <w:numId w:val="5"/>
              </w:numPr>
              <w:suppressAutoHyphens/>
              <w:spacing w:before="60" w:after="60" w:line="240" w:lineRule="auto"/>
              <w:ind w:left="0" w:firstLine="0"/>
              <w:contextualSpacing w:val="0"/>
              <w:jc w:val="both"/>
              <w:rPr>
                <w:color w:val="000000"/>
                <w:sz w:val="16"/>
                <w:szCs w:val="18"/>
              </w:rPr>
            </w:pPr>
          </w:p>
        </w:tc>
        <w:tc>
          <w:tcPr>
            <w:tcW w:w="10317" w:type="dxa"/>
            <w:tcBorders>
              <w:left w:val="nil"/>
            </w:tcBorders>
            <w:shd w:val="clear" w:color="auto" w:fill="D9D9D9"/>
          </w:tcPr>
          <w:p w:rsidR="005B2214" w:rsidRPr="00AE35C1" w:rsidRDefault="005B2214" w:rsidP="00363A97">
            <w:pPr>
              <w:pStyle w:val="Akapitzlist"/>
              <w:suppressAutoHyphens/>
              <w:spacing w:before="60" w:after="60" w:line="240" w:lineRule="auto"/>
              <w:ind w:left="0"/>
              <w:contextualSpacing w:val="0"/>
              <w:jc w:val="both"/>
              <w:rPr>
                <w:b/>
                <w:color w:val="000000"/>
                <w:sz w:val="16"/>
                <w:szCs w:val="18"/>
              </w:rPr>
            </w:pPr>
            <w:r w:rsidRPr="00AE35C1">
              <w:rPr>
                <w:color w:val="000000"/>
                <w:sz w:val="16"/>
                <w:szCs w:val="18"/>
              </w:rPr>
              <w:t>Wsparcie internacjonalizacji przedsiębiorstw.</w:t>
            </w:r>
          </w:p>
        </w:tc>
      </w:tr>
      <w:tr w:rsidR="005B2214" w:rsidRPr="00AE35C1" w:rsidTr="00363A97">
        <w:tc>
          <w:tcPr>
            <w:tcW w:w="424" w:type="dxa"/>
            <w:vMerge/>
            <w:tcBorders>
              <w:right w:val="nil"/>
            </w:tcBorders>
            <w:shd w:val="clear" w:color="auto" w:fill="A6A6A6"/>
          </w:tcPr>
          <w:p w:rsidR="005B2214" w:rsidRPr="00AE35C1" w:rsidRDefault="005B2214"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5B2214" w:rsidRPr="00AE35C1" w:rsidRDefault="005B2214"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5B2214" w:rsidRPr="00AE35C1" w:rsidRDefault="005B2214" w:rsidP="00363A97">
            <w:pPr>
              <w:suppressAutoHyphens/>
              <w:spacing w:before="60" w:after="60" w:line="240" w:lineRule="auto"/>
              <w:ind w:left="-108"/>
              <w:jc w:val="both"/>
              <w:rPr>
                <w:b/>
                <w:color w:val="404040"/>
                <w:sz w:val="18"/>
                <w:szCs w:val="20"/>
              </w:rPr>
            </w:pPr>
          </w:p>
        </w:tc>
        <w:tc>
          <w:tcPr>
            <w:tcW w:w="2544" w:type="dxa"/>
            <w:vMerge/>
            <w:tcBorders>
              <w:left w:val="nil"/>
            </w:tcBorders>
            <w:shd w:val="clear" w:color="auto" w:fill="BFBFBF"/>
          </w:tcPr>
          <w:p w:rsidR="005B2214" w:rsidRPr="00AE35C1" w:rsidRDefault="005B2214"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5B2214" w:rsidRPr="00AE35C1" w:rsidRDefault="005B2214" w:rsidP="00363A97">
            <w:pPr>
              <w:pStyle w:val="Akapitzlist"/>
              <w:numPr>
                <w:ilvl w:val="2"/>
                <w:numId w:val="5"/>
              </w:numPr>
              <w:suppressAutoHyphens/>
              <w:spacing w:before="60" w:after="60" w:line="240" w:lineRule="auto"/>
              <w:ind w:left="0" w:firstLine="0"/>
              <w:contextualSpacing w:val="0"/>
              <w:jc w:val="both"/>
              <w:rPr>
                <w:color w:val="000000"/>
                <w:sz w:val="16"/>
                <w:szCs w:val="18"/>
              </w:rPr>
            </w:pPr>
          </w:p>
        </w:tc>
        <w:tc>
          <w:tcPr>
            <w:tcW w:w="10317" w:type="dxa"/>
            <w:tcBorders>
              <w:left w:val="nil"/>
            </w:tcBorders>
            <w:shd w:val="clear" w:color="auto" w:fill="D9D9D9"/>
          </w:tcPr>
          <w:p w:rsidR="005B2214" w:rsidRPr="00AE35C1" w:rsidRDefault="005B2214" w:rsidP="00363A97">
            <w:pPr>
              <w:pStyle w:val="Akapitzlist"/>
              <w:suppressAutoHyphens/>
              <w:spacing w:before="60" w:after="60" w:line="240" w:lineRule="auto"/>
              <w:ind w:left="0"/>
              <w:contextualSpacing w:val="0"/>
              <w:jc w:val="both"/>
              <w:rPr>
                <w:b/>
                <w:color w:val="000000"/>
                <w:sz w:val="16"/>
                <w:szCs w:val="18"/>
              </w:rPr>
            </w:pPr>
            <w:r w:rsidRPr="00AE35C1">
              <w:rPr>
                <w:color w:val="000000"/>
                <w:sz w:val="16"/>
                <w:szCs w:val="18"/>
              </w:rPr>
              <w:t>Wzmocnienie marki produktów regionalnych.</w:t>
            </w:r>
          </w:p>
        </w:tc>
      </w:tr>
      <w:tr w:rsidR="005B2214" w:rsidRPr="00AE35C1" w:rsidTr="00363A97">
        <w:tc>
          <w:tcPr>
            <w:tcW w:w="424" w:type="dxa"/>
            <w:vMerge/>
            <w:tcBorders>
              <w:right w:val="nil"/>
            </w:tcBorders>
            <w:shd w:val="clear" w:color="auto" w:fill="A6A6A6"/>
          </w:tcPr>
          <w:p w:rsidR="005B2214" w:rsidRPr="00AE35C1" w:rsidRDefault="005B2214"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5B2214" w:rsidRPr="00AE35C1" w:rsidRDefault="005B2214"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5B2214" w:rsidRPr="00AE35C1" w:rsidRDefault="005B2214" w:rsidP="00363A97">
            <w:pPr>
              <w:suppressAutoHyphens/>
              <w:spacing w:before="60" w:after="60" w:line="240" w:lineRule="auto"/>
              <w:ind w:left="-108"/>
              <w:jc w:val="both"/>
              <w:rPr>
                <w:b/>
                <w:color w:val="404040"/>
                <w:sz w:val="18"/>
                <w:szCs w:val="20"/>
              </w:rPr>
            </w:pPr>
          </w:p>
        </w:tc>
        <w:tc>
          <w:tcPr>
            <w:tcW w:w="2544" w:type="dxa"/>
            <w:vMerge/>
            <w:tcBorders>
              <w:left w:val="nil"/>
            </w:tcBorders>
            <w:shd w:val="clear" w:color="auto" w:fill="BFBFBF"/>
          </w:tcPr>
          <w:p w:rsidR="005B2214" w:rsidRPr="00AE35C1" w:rsidRDefault="005B2214"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5B2214" w:rsidRPr="00AE35C1" w:rsidRDefault="005B2214" w:rsidP="00363A97">
            <w:pPr>
              <w:pStyle w:val="Akapitzlist"/>
              <w:numPr>
                <w:ilvl w:val="2"/>
                <w:numId w:val="5"/>
              </w:numPr>
              <w:suppressAutoHyphens/>
              <w:spacing w:before="60" w:after="60" w:line="240" w:lineRule="auto"/>
              <w:ind w:left="0" w:firstLine="0"/>
              <w:contextualSpacing w:val="0"/>
              <w:jc w:val="both"/>
              <w:rPr>
                <w:color w:val="000000"/>
                <w:sz w:val="16"/>
                <w:szCs w:val="18"/>
              </w:rPr>
            </w:pPr>
          </w:p>
        </w:tc>
        <w:tc>
          <w:tcPr>
            <w:tcW w:w="10317" w:type="dxa"/>
            <w:tcBorders>
              <w:left w:val="nil"/>
            </w:tcBorders>
            <w:shd w:val="clear" w:color="auto" w:fill="D9D9D9"/>
          </w:tcPr>
          <w:p w:rsidR="005B2214" w:rsidRPr="00AE35C1" w:rsidRDefault="005B2214" w:rsidP="00363A97">
            <w:pPr>
              <w:pStyle w:val="Akapitzlist"/>
              <w:suppressAutoHyphens/>
              <w:spacing w:before="60" w:after="60" w:line="240" w:lineRule="auto"/>
              <w:ind w:left="0"/>
              <w:contextualSpacing w:val="0"/>
              <w:jc w:val="both"/>
              <w:rPr>
                <w:color w:val="000000"/>
                <w:sz w:val="16"/>
                <w:szCs w:val="18"/>
              </w:rPr>
            </w:pPr>
            <w:r w:rsidRPr="00AE35C1">
              <w:rPr>
                <w:color w:val="000000"/>
                <w:sz w:val="16"/>
                <w:szCs w:val="18"/>
              </w:rPr>
              <w:t>Wzmocnienie wrocławskiego ośrodka naukowego</w:t>
            </w:r>
            <w:r w:rsidR="00E71DD2">
              <w:rPr>
                <w:color w:val="000000"/>
                <w:sz w:val="16"/>
                <w:szCs w:val="18"/>
              </w:rPr>
              <w:t>.</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val="restart"/>
            <w:tcBorders>
              <w:right w:val="nil"/>
            </w:tcBorders>
            <w:shd w:val="clear" w:color="auto" w:fill="BFBFBF"/>
          </w:tcPr>
          <w:p w:rsidR="007324AE" w:rsidRPr="00AE35C1" w:rsidRDefault="007324AE" w:rsidP="00363A97">
            <w:pPr>
              <w:pStyle w:val="Akapitzlist"/>
              <w:numPr>
                <w:ilvl w:val="1"/>
                <w:numId w:val="5"/>
              </w:numPr>
              <w:suppressAutoHyphens/>
              <w:spacing w:before="60" w:after="60" w:line="240" w:lineRule="auto"/>
              <w:ind w:left="-108" w:firstLine="0"/>
              <w:contextualSpacing w:val="0"/>
              <w:jc w:val="both"/>
              <w:rPr>
                <w:b/>
                <w:color w:val="000000"/>
                <w:sz w:val="18"/>
                <w:szCs w:val="20"/>
              </w:rPr>
            </w:pPr>
          </w:p>
        </w:tc>
        <w:tc>
          <w:tcPr>
            <w:tcW w:w="2544" w:type="dxa"/>
            <w:vMerge w:val="restart"/>
            <w:tcBorders>
              <w:left w:val="nil"/>
            </w:tcBorders>
            <w:shd w:val="clear" w:color="auto" w:fill="BFBFBF"/>
          </w:tcPr>
          <w:p w:rsidR="007324AE" w:rsidRPr="00AE35C1" w:rsidRDefault="007324AE" w:rsidP="00363A97">
            <w:pPr>
              <w:pStyle w:val="Akapitzlist"/>
              <w:suppressAutoHyphens/>
              <w:spacing w:before="60" w:after="60" w:line="240" w:lineRule="auto"/>
              <w:ind w:left="168"/>
              <w:contextualSpacing w:val="0"/>
              <w:rPr>
                <w:b/>
                <w:color w:val="000000"/>
                <w:sz w:val="18"/>
                <w:szCs w:val="20"/>
              </w:rPr>
            </w:pPr>
            <w:r w:rsidRPr="00AE35C1">
              <w:rPr>
                <w:b/>
                <w:color w:val="000000"/>
                <w:sz w:val="18"/>
                <w:szCs w:val="20"/>
              </w:rPr>
              <w:t>Wzmacnianie innowacyjności regionu</w:t>
            </w:r>
          </w:p>
        </w:tc>
        <w:tc>
          <w:tcPr>
            <w:tcW w:w="567" w:type="dxa"/>
            <w:tcBorders>
              <w:right w:val="nil"/>
            </w:tcBorders>
            <w:shd w:val="clear" w:color="auto" w:fill="D9D9D9"/>
          </w:tcPr>
          <w:p w:rsidR="007324AE" w:rsidRPr="00AE35C1" w:rsidRDefault="007324AE" w:rsidP="00363A97">
            <w:pPr>
              <w:pStyle w:val="Bezodstpw"/>
              <w:numPr>
                <w:ilvl w:val="2"/>
                <w:numId w:val="5"/>
              </w:numPr>
              <w:suppressAutoHyphens/>
              <w:spacing w:before="60" w:after="60"/>
              <w:ind w:left="0" w:firstLine="0"/>
              <w:jc w:val="both"/>
              <w:rPr>
                <w:color w:val="000000"/>
                <w:sz w:val="16"/>
                <w:szCs w:val="18"/>
              </w:rPr>
            </w:pPr>
          </w:p>
        </w:tc>
        <w:tc>
          <w:tcPr>
            <w:tcW w:w="10317" w:type="dxa"/>
            <w:tcBorders>
              <w:left w:val="nil"/>
            </w:tcBorders>
            <w:shd w:val="clear" w:color="auto" w:fill="D9D9D9"/>
          </w:tcPr>
          <w:p w:rsidR="007324AE" w:rsidRPr="00AE35C1" w:rsidRDefault="007324AE" w:rsidP="00363A97">
            <w:pPr>
              <w:pStyle w:val="Bezodstpw"/>
              <w:suppressAutoHyphens/>
              <w:spacing w:before="60" w:after="60"/>
              <w:jc w:val="both"/>
              <w:rPr>
                <w:color w:val="000000"/>
                <w:sz w:val="16"/>
                <w:szCs w:val="18"/>
              </w:rPr>
            </w:pPr>
            <w:r w:rsidRPr="00AE35C1">
              <w:rPr>
                <w:color w:val="000000"/>
                <w:sz w:val="16"/>
                <w:szCs w:val="18"/>
              </w:rPr>
              <w:t xml:space="preserve">Rozwój specjalizacji regionalnych i </w:t>
            </w:r>
            <w:proofErr w:type="spellStart"/>
            <w:r w:rsidRPr="00AE35C1">
              <w:rPr>
                <w:color w:val="000000"/>
                <w:sz w:val="16"/>
                <w:szCs w:val="18"/>
              </w:rPr>
              <w:t>subregionalnych</w:t>
            </w:r>
            <w:proofErr w:type="spellEnd"/>
            <w:r w:rsidRPr="00AE35C1">
              <w:rPr>
                <w:color w:val="000000"/>
                <w:sz w:val="16"/>
                <w:szCs w:val="18"/>
              </w:rPr>
              <w:t>, w tym inteligentnych specjalizacji.</w:t>
            </w:r>
          </w:p>
        </w:tc>
      </w:tr>
      <w:tr w:rsidR="00392B12" w:rsidRPr="00AE35C1" w:rsidTr="00363A97">
        <w:tc>
          <w:tcPr>
            <w:tcW w:w="424" w:type="dxa"/>
            <w:vMerge/>
            <w:tcBorders>
              <w:right w:val="nil"/>
            </w:tcBorders>
            <w:shd w:val="clear" w:color="auto" w:fill="A6A6A6"/>
          </w:tcPr>
          <w:p w:rsidR="00392B12" w:rsidRPr="00AE35C1" w:rsidRDefault="00392B12"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392B12" w:rsidRPr="00AE35C1" w:rsidRDefault="00392B12"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392B12" w:rsidRPr="00AE35C1" w:rsidRDefault="00392B12" w:rsidP="00363A97">
            <w:pPr>
              <w:suppressAutoHyphens/>
              <w:spacing w:before="60" w:after="60" w:line="240" w:lineRule="auto"/>
              <w:ind w:left="-108"/>
              <w:jc w:val="both"/>
              <w:rPr>
                <w:b/>
                <w:color w:val="404040"/>
                <w:sz w:val="18"/>
                <w:szCs w:val="20"/>
              </w:rPr>
            </w:pPr>
          </w:p>
        </w:tc>
        <w:tc>
          <w:tcPr>
            <w:tcW w:w="2544" w:type="dxa"/>
            <w:vMerge/>
            <w:tcBorders>
              <w:left w:val="nil"/>
            </w:tcBorders>
            <w:shd w:val="clear" w:color="auto" w:fill="BFBFBF"/>
          </w:tcPr>
          <w:p w:rsidR="00392B12" w:rsidRPr="00AE35C1" w:rsidRDefault="00392B12"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392B12" w:rsidRPr="00AE35C1" w:rsidRDefault="00392B12" w:rsidP="00363A97">
            <w:pPr>
              <w:pStyle w:val="Bezodstpw"/>
              <w:numPr>
                <w:ilvl w:val="2"/>
                <w:numId w:val="5"/>
              </w:numPr>
              <w:suppressAutoHyphens/>
              <w:spacing w:before="60" w:after="60"/>
              <w:ind w:left="0" w:firstLine="0"/>
              <w:jc w:val="both"/>
              <w:rPr>
                <w:color w:val="000000"/>
                <w:sz w:val="16"/>
                <w:szCs w:val="18"/>
              </w:rPr>
            </w:pPr>
          </w:p>
        </w:tc>
        <w:tc>
          <w:tcPr>
            <w:tcW w:w="10317" w:type="dxa"/>
            <w:tcBorders>
              <w:left w:val="nil"/>
            </w:tcBorders>
            <w:shd w:val="clear" w:color="auto" w:fill="D9D9D9"/>
          </w:tcPr>
          <w:p w:rsidR="00392B12" w:rsidRPr="00AE35C1" w:rsidRDefault="00392B12" w:rsidP="00363A97">
            <w:pPr>
              <w:pStyle w:val="Bezodstpw"/>
              <w:suppressAutoHyphens/>
              <w:spacing w:before="60" w:after="60"/>
              <w:jc w:val="both"/>
              <w:rPr>
                <w:color w:val="000000"/>
                <w:sz w:val="16"/>
                <w:szCs w:val="18"/>
              </w:rPr>
            </w:pPr>
            <w:r w:rsidRPr="00AE35C1">
              <w:rPr>
                <w:color w:val="000000"/>
                <w:sz w:val="16"/>
                <w:szCs w:val="18"/>
              </w:rPr>
              <w:t xml:space="preserve">Wsparcie dla inteligentnej reindustrializacji – cyfryzacji i zaawansowanej automatyzacji procesów technologicznych i zarządczych </w:t>
            </w:r>
            <w:r w:rsidRPr="00AE35C1">
              <w:rPr>
                <w:color w:val="000000"/>
                <w:sz w:val="16"/>
                <w:szCs w:val="18"/>
              </w:rPr>
              <w:br/>
              <w:t>w przedsiębiorstwach</w:t>
            </w:r>
            <w:r w:rsidR="004D0E36" w:rsidRPr="00AE35C1">
              <w:rPr>
                <w:color w:val="000000"/>
                <w:sz w:val="16"/>
                <w:szCs w:val="18"/>
              </w:rPr>
              <w:t>.</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108"/>
              <w:jc w:val="both"/>
              <w:rPr>
                <w:b/>
                <w:color w:val="404040"/>
                <w:sz w:val="18"/>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7324AE" w:rsidRPr="00AE35C1" w:rsidRDefault="007324AE" w:rsidP="00363A97">
            <w:pPr>
              <w:pStyle w:val="Bezodstpw"/>
              <w:numPr>
                <w:ilvl w:val="2"/>
                <w:numId w:val="5"/>
              </w:numPr>
              <w:suppressAutoHyphens/>
              <w:spacing w:before="60" w:after="60"/>
              <w:ind w:left="0" w:firstLine="0"/>
              <w:jc w:val="both"/>
              <w:rPr>
                <w:color w:val="000000"/>
                <w:sz w:val="16"/>
                <w:szCs w:val="18"/>
              </w:rPr>
            </w:pPr>
          </w:p>
        </w:tc>
        <w:tc>
          <w:tcPr>
            <w:tcW w:w="10317" w:type="dxa"/>
            <w:tcBorders>
              <w:left w:val="nil"/>
            </w:tcBorders>
            <w:shd w:val="clear" w:color="auto" w:fill="D9D9D9"/>
          </w:tcPr>
          <w:p w:rsidR="007324AE" w:rsidRPr="00AE35C1" w:rsidRDefault="007324AE" w:rsidP="00363A97">
            <w:pPr>
              <w:pStyle w:val="Bezodstpw"/>
              <w:suppressAutoHyphens/>
              <w:spacing w:before="60" w:after="60"/>
              <w:jc w:val="both"/>
              <w:rPr>
                <w:color w:val="000000"/>
                <w:sz w:val="16"/>
                <w:szCs w:val="18"/>
              </w:rPr>
            </w:pPr>
            <w:r w:rsidRPr="00AE35C1">
              <w:rPr>
                <w:color w:val="000000"/>
                <w:sz w:val="16"/>
                <w:szCs w:val="18"/>
              </w:rPr>
              <w:t>Stymulowanie współpracy biznesu i nauki.</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108"/>
              <w:jc w:val="both"/>
              <w:rPr>
                <w:b/>
                <w:color w:val="404040"/>
                <w:sz w:val="18"/>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7324AE" w:rsidRPr="00AE35C1" w:rsidRDefault="007324AE" w:rsidP="00363A97">
            <w:pPr>
              <w:pStyle w:val="Bezodstpw"/>
              <w:numPr>
                <w:ilvl w:val="2"/>
                <w:numId w:val="5"/>
              </w:numPr>
              <w:suppressAutoHyphens/>
              <w:spacing w:before="60" w:after="60"/>
              <w:ind w:left="0" w:firstLine="0"/>
              <w:jc w:val="both"/>
              <w:rPr>
                <w:color w:val="000000"/>
                <w:sz w:val="16"/>
                <w:szCs w:val="18"/>
              </w:rPr>
            </w:pPr>
          </w:p>
        </w:tc>
        <w:tc>
          <w:tcPr>
            <w:tcW w:w="10317" w:type="dxa"/>
            <w:tcBorders>
              <w:left w:val="nil"/>
            </w:tcBorders>
            <w:shd w:val="clear" w:color="auto" w:fill="D9D9D9"/>
          </w:tcPr>
          <w:p w:rsidR="007324AE" w:rsidRPr="00AE35C1" w:rsidRDefault="007324AE" w:rsidP="00363A97">
            <w:pPr>
              <w:pStyle w:val="Bezodstpw"/>
              <w:suppressAutoHyphens/>
              <w:spacing w:before="60" w:after="60"/>
              <w:jc w:val="both"/>
              <w:rPr>
                <w:color w:val="000000"/>
                <w:sz w:val="16"/>
                <w:szCs w:val="18"/>
              </w:rPr>
            </w:pPr>
            <w:r w:rsidRPr="00AE35C1">
              <w:rPr>
                <w:color w:val="000000"/>
                <w:sz w:val="16"/>
                <w:szCs w:val="18"/>
              </w:rPr>
              <w:t>Rozwój usług proinnowacyjnych oraz kreowanie i wspieranie regionalnych ośrodków innowacyjności.</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108"/>
              <w:jc w:val="both"/>
              <w:rPr>
                <w:b/>
                <w:color w:val="404040"/>
                <w:sz w:val="18"/>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7324AE" w:rsidRPr="00AE35C1" w:rsidRDefault="007324AE" w:rsidP="00363A97">
            <w:pPr>
              <w:pStyle w:val="Bezodstpw"/>
              <w:numPr>
                <w:ilvl w:val="2"/>
                <w:numId w:val="5"/>
              </w:numPr>
              <w:suppressAutoHyphens/>
              <w:spacing w:before="60" w:after="60"/>
              <w:ind w:left="0" w:firstLine="0"/>
              <w:jc w:val="both"/>
              <w:rPr>
                <w:color w:val="000000"/>
                <w:sz w:val="16"/>
                <w:szCs w:val="18"/>
              </w:rPr>
            </w:pPr>
          </w:p>
        </w:tc>
        <w:tc>
          <w:tcPr>
            <w:tcW w:w="10317" w:type="dxa"/>
            <w:tcBorders>
              <w:left w:val="nil"/>
            </w:tcBorders>
            <w:shd w:val="clear" w:color="auto" w:fill="D9D9D9"/>
          </w:tcPr>
          <w:p w:rsidR="007324AE" w:rsidRPr="00AE35C1" w:rsidRDefault="007324AE" w:rsidP="00363A97">
            <w:pPr>
              <w:pStyle w:val="Bezodstpw"/>
              <w:suppressAutoHyphens/>
              <w:spacing w:before="60" w:after="60"/>
              <w:jc w:val="both"/>
              <w:rPr>
                <w:color w:val="000000"/>
                <w:sz w:val="16"/>
                <w:szCs w:val="18"/>
              </w:rPr>
            </w:pPr>
            <w:r w:rsidRPr="00AE35C1">
              <w:rPr>
                <w:color w:val="000000"/>
                <w:sz w:val="16"/>
                <w:szCs w:val="18"/>
              </w:rPr>
              <w:t>Wzmacnianie regionalnego systemu wsparcia finansowego dla przedsięwzięć innowacyjnych.</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108"/>
              <w:jc w:val="both"/>
              <w:rPr>
                <w:b/>
                <w:color w:val="404040"/>
                <w:sz w:val="18"/>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168"/>
              <w:rPr>
                <w:b/>
                <w:color w:val="404040"/>
                <w:sz w:val="18"/>
                <w:szCs w:val="20"/>
              </w:rPr>
            </w:pPr>
          </w:p>
        </w:tc>
        <w:tc>
          <w:tcPr>
            <w:tcW w:w="567" w:type="dxa"/>
            <w:tcBorders>
              <w:right w:val="nil"/>
            </w:tcBorders>
            <w:shd w:val="clear" w:color="auto" w:fill="D9D9D9"/>
          </w:tcPr>
          <w:p w:rsidR="007324AE" w:rsidRPr="00AE35C1" w:rsidRDefault="007324AE" w:rsidP="00363A97">
            <w:pPr>
              <w:pStyle w:val="Bezodstpw"/>
              <w:numPr>
                <w:ilvl w:val="2"/>
                <w:numId w:val="5"/>
              </w:numPr>
              <w:suppressAutoHyphens/>
              <w:spacing w:before="60" w:after="60"/>
              <w:ind w:left="0" w:firstLine="0"/>
              <w:jc w:val="both"/>
              <w:rPr>
                <w:color w:val="000000"/>
                <w:sz w:val="16"/>
                <w:szCs w:val="18"/>
              </w:rPr>
            </w:pPr>
          </w:p>
        </w:tc>
        <w:tc>
          <w:tcPr>
            <w:tcW w:w="10317" w:type="dxa"/>
            <w:tcBorders>
              <w:left w:val="nil"/>
            </w:tcBorders>
            <w:shd w:val="clear" w:color="auto" w:fill="D9D9D9"/>
          </w:tcPr>
          <w:p w:rsidR="007324AE" w:rsidRPr="00AE35C1" w:rsidRDefault="007324AE" w:rsidP="00363A97">
            <w:pPr>
              <w:pStyle w:val="Bezodstpw"/>
              <w:suppressAutoHyphens/>
              <w:spacing w:before="60" w:after="60"/>
              <w:jc w:val="both"/>
              <w:rPr>
                <w:color w:val="000000"/>
                <w:sz w:val="16"/>
                <w:szCs w:val="18"/>
              </w:rPr>
            </w:pPr>
            <w:r w:rsidRPr="00AE35C1">
              <w:rPr>
                <w:color w:val="000000"/>
                <w:sz w:val="16"/>
                <w:szCs w:val="18"/>
              </w:rPr>
              <w:t>Tworzenie warunków do współpracy badawczo - rozwojowej o zasięgu międzynarodowym.</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val="restart"/>
            <w:tcBorders>
              <w:right w:val="nil"/>
            </w:tcBorders>
            <w:shd w:val="clear" w:color="auto" w:fill="BFBFBF"/>
          </w:tcPr>
          <w:p w:rsidR="007324AE" w:rsidRPr="00AE35C1" w:rsidRDefault="007324AE" w:rsidP="00363A97">
            <w:pPr>
              <w:pStyle w:val="Akapitzlist"/>
              <w:numPr>
                <w:ilvl w:val="1"/>
                <w:numId w:val="5"/>
              </w:numPr>
              <w:suppressAutoHyphens/>
              <w:spacing w:before="60" w:after="60" w:line="240" w:lineRule="auto"/>
              <w:ind w:left="-108" w:firstLine="0"/>
              <w:contextualSpacing w:val="0"/>
              <w:jc w:val="both"/>
              <w:rPr>
                <w:b/>
                <w:color w:val="000000"/>
                <w:sz w:val="18"/>
                <w:szCs w:val="20"/>
              </w:rPr>
            </w:pPr>
          </w:p>
        </w:tc>
        <w:tc>
          <w:tcPr>
            <w:tcW w:w="2544" w:type="dxa"/>
            <w:vMerge w:val="restart"/>
            <w:tcBorders>
              <w:left w:val="nil"/>
            </w:tcBorders>
            <w:shd w:val="clear" w:color="auto" w:fill="BFBFBF"/>
          </w:tcPr>
          <w:p w:rsidR="007324AE" w:rsidRPr="00AE35C1" w:rsidRDefault="007324AE" w:rsidP="00363A97">
            <w:pPr>
              <w:pStyle w:val="Akapitzlist"/>
              <w:suppressAutoHyphens/>
              <w:spacing w:before="60" w:after="60" w:line="240" w:lineRule="auto"/>
              <w:ind w:left="168"/>
              <w:contextualSpacing w:val="0"/>
              <w:rPr>
                <w:b/>
                <w:color w:val="000000"/>
                <w:sz w:val="18"/>
                <w:szCs w:val="20"/>
              </w:rPr>
            </w:pPr>
            <w:r w:rsidRPr="00AE35C1">
              <w:rPr>
                <w:b/>
                <w:color w:val="000000"/>
                <w:sz w:val="18"/>
                <w:szCs w:val="20"/>
              </w:rPr>
              <w:t>Wspieranie rozwoju oraz rewitalizacja obszarów miejskich i wiejskich</w:t>
            </w:r>
          </w:p>
        </w:tc>
        <w:tc>
          <w:tcPr>
            <w:tcW w:w="567" w:type="dxa"/>
            <w:tcBorders>
              <w:right w:val="nil"/>
            </w:tcBorders>
            <w:shd w:val="clear" w:color="auto" w:fill="D9D9D9"/>
          </w:tcPr>
          <w:p w:rsidR="007324AE" w:rsidRPr="00AE35C1" w:rsidRDefault="007324AE" w:rsidP="00363A97">
            <w:pPr>
              <w:pStyle w:val="BORDOX"/>
              <w:numPr>
                <w:ilvl w:val="2"/>
                <w:numId w:val="5"/>
              </w:numPr>
              <w:spacing w:before="60" w:after="60" w:line="240" w:lineRule="auto"/>
              <w:ind w:left="0" w:right="34" w:firstLine="0"/>
              <w:contextualSpacing w:val="0"/>
              <w:rPr>
                <w:rFonts w:ascii="Calibri" w:hAnsi="Calibri"/>
                <w:color w:val="000000"/>
                <w:sz w:val="16"/>
              </w:rPr>
            </w:pPr>
          </w:p>
        </w:tc>
        <w:tc>
          <w:tcPr>
            <w:tcW w:w="10317" w:type="dxa"/>
            <w:tcBorders>
              <w:left w:val="nil"/>
            </w:tcBorders>
            <w:shd w:val="clear" w:color="auto" w:fill="D9D9D9"/>
          </w:tcPr>
          <w:p w:rsidR="007324AE" w:rsidRPr="00AE35C1" w:rsidRDefault="007324AE" w:rsidP="00363A97">
            <w:pPr>
              <w:pStyle w:val="BORDOX"/>
              <w:numPr>
                <w:ilvl w:val="0"/>
                <w:numId w:val="0"/>
              </w:numPr>
              <w:spacing w:before="60" w:after="60" w:line="240" w:lineRule="auto"/>
              <w:ind w:right="34"/>
              <w:contextualSpacing w:val="0"/>
              <w:rPr>
                <w:rFonts w:ascii="Calibri" w:hAnsi="Calibri"/>
                <w:color w:val="000000"/>
                <w:sz w:val="16"/>
              </w:rPr>
            </w:pPr>
            <w:r w:rsidRPr="00AE35C1">
              <w:rPr>
                <w:rFonts w:ascii="Calibri" w:hAnsi="Calibri"/>
                <w:color w:val="000000"/>
                <w:sz w:val="16"/>
              </w:rPr>
              <w:t>Zrównoważony rozwój miejskich obszarów funkcjonalnych.</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108"/>
              <w:jc w:val="both"/>
              <w:rPr>
                <w:b/>
                <w:color w:val="404040"/>
                <w:sz w:val="20"/>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34"/>
              <w:rPr>
                <w:b/>
                <w:color w:val="404040"/>
                <w:sz w:val="20"/>
                <w:szCs w:val="20"/>
              </w:rPr>
            </w:pPr>
          </w:p>
        </w:tc>
        <w:tc>
          <w:tcPr>
            <w:tcW w:w="567" w:type="dxa"/>
            <w:tcBorders>
              <w:right w:val="nil"/>
            </w:tcBorders>
            <w:shd w:val="clear" w:color="auto" w:fill="D9D9D9"/>
          </w:tcPr>
          <w:p w:rsidR="007324AE" w:rsidRPr="00AE35C1" w:rsidRDefault="007324AE" w:rsidP="00363A97">
            <w:pPr>
              <w:pStyle w:val="BORDOX"/>
              <w:numPr>
                <w:ilvl w:val="2"/>
                <w:numId w:val="5"/>
              </w:numPr>
              <w:spacing w:before="60" w:after="60" w:line="240" w:lineRule="auto"/>
              <w:ind w:left="0" w:right="34" w:firstLine="0"/>
              <w:contextualSpacing w:val="0"/>
              <w:rPr>
                <w:rFonts w:ascii="Calibri" w:hAnsi="Calibri"/>
                <w:color w:val="000000"/>
                <w:sz w:val="16"/>
              </w:rPr>
            </w:pPr>
          </w:p>
        </w:tc>
        <w:tc>
          <w:tcPr>
            <w:tcW w:w="10317" w:type="dxa"/>
            <w:tcBorders>
              <w:left w:val="nil"/>
            </w:tcBorders>
            <w:shd w:val="clear" w:color="auto" w:fill="D9D9D9"/>
          </w:tcPr>
          <w:p w:rsidR="007324AE" w:rsidRPr="00AE35C1" w:rsidRDefault="007324AE" w:rsidP="00363A97">
            <w:pPr>
              <w:pStyle w:val="BORDOX"/>
              <w:numPr>
                <w:ilvl w:val="0"/>
                <w:numId w:val="0"/>
              </w:numPr>
              <w:spacing w:before="60" w:after="60" w:line="240" w:lineRule="auto"/>
              <w:ind w:right="34"/>
              <w:contextualSpacing w:val="0"/>
              <w:rPr>
                <w:rFonts w:ascii="Calibri" w:hAnsi="Calibri"/>
                <w:color w:val="000000"/>
                <w:sz w:val="16"/>
              </w:rPr>
            </w:pPr>
            <w:r w:rsidRPr="00AE35C1">
              <w:rPr>
                <w:rFonts w:ascii="Calibri" w:hAnsi="Calibri"/>
                <w:color w:val="000000"/>
                <w:sz w:val="16"/>
              </w:rPr>
              <w:t>Rewitalizacja zdegradowanych obszarów wiejskich.</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108"/>
              <w:jc w:val="both"/>
              <w:rPr>
                <w:b/>
                <w:color w:val="404040"/>
                <w:sz w:val="20"/>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34"/>
              <w:rPr>
                <w:b/>
                <w:color w:val="404040"/>
                <w:sz w:val="20"/>
                <w:szCs w:val="20"/>
              </w:rPr>
            </w:pPr>
          </w:p>
        </w:tc>
        <w:tc>
          <w:tcPr>
            <w:tcW w:w="567" w:type="dxa"/>
            <w:tcBorders>
              <w:right w:val="nil"/>
            </w:tcBorders>
            <w:shd w:val="clear" w:color="auto" w:fill="D9D9D9"/>
          </w:tcPr>
          <w:p w:rsidR="007324AE" w:rsidRPr="00AE35C1" w:rsidRDefault="007324AE" w:rsidP="00363A97">
            <w:pPr>
              <w:pStyle w:val="BORDOX"/>
              <w:numPr>
                <w:ilvl w:val="2"/>
                <w:numId w:val="5"/>
              </w:numPr>
              <w:spacing w:before="60" w:after="60" w:line="240" w:lineRule="auto"/>
              <w:ind w:left="0" w:right="34" w:firstLine="0"/>
              <w:contextualSpacing w:val="0"/>
              <w:rPr>
                <w:rFonts w:ascii="Calibri" w:hAnsi="Calibri"/>
                <w:color w:val="000000"/>
                <w:sz w:val="16"/>
              </w:rPr>
            </w:pPr>
          </w:p>
        </w:tc>
        <w:tc>
          <w:tcPr>
            <w:tcW w:w="10317" w:type="dxa"/>
            <w:tcBorders>
              <w:left w:val="nil"/>
            </w:tcBorders>
            <w:shd w:val="clear" w:color="auto" w:fill="D9D9D9"/>
          </w:tcPr>
          <w:p w:rsidR="007324AE" w:rsidRPr="00AE35C1" w:rsidRDefault="007324AE" w:rsidP="00363A97">
            <w:pPr>
              <w:pStyle w:val="BORDOX"/>
              <w:numPr>
                <w:ilvl w:val="0"/>
                <w:numId w:val="0"/>
              </w:numPr>
              <w:spacing w:before="60" w:after="60" w:line="240" w:lineRule="auto"/>
              <w:ind w:right="34"/>
              <w:contextualSpacing w:val="0"/>
              <w:rPr>
                <w:rFonts w:ascii="Calibri" w:hAnsi="Calibri"/>
                <w:color w:val="000000"/>
                <w:sz w:val="16"/>
              </w:rPr>
            </w:pPr>
            <w:r w:rsidRPr="00AE35C1">
              <w:rPr>
                <w:rFonts w:ascii="Calibri" w:hAnsi="Calibri"/>
                <w:color w:val="000000"/>
                <w:sz w:val="16"/>
              </w:rPr>
              <w:t>Rewitalizacja zdegradowanych obszarów miejskich.</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108"/>
              <w:jc w:val="both"/>
              <w:rPr>
                <w:b/>
                <w:color w:val="404040"/>
                <w:sz w:val="20"/>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34"/>
              <w:rPr>
                <w:b/>
                <w:color w:val="404040"/>
                <w:sz w:val="20"/>
                <w:szCs w:val="20"/>
              </w:rPr>
            </w:pPr>
          </w:p>
        </w:tc>
        <w:tc>
          <w:tcPr>
            <w:tcW w:w="567" w:type="dxa"/>
            <w:tcBorders>
              <w:right w:val="nil"/>
            </w:tcBorders>
            <w:shd w:val="clear" w:color="auto" w:fill="D9D9D9"/>
          </w:tcPr>
          <w:p w:rsidR="007324AE" w:rsidRPr="00AE35C1" w:rsidRDefault="007324AE" w:rsidP="00363A97">
            <w:pPr>
              <w:pStyle w:val="BORDOX"/>
              <w:numPr>
                <w:ilvl w:val="2"/>
                <w:numId w:val="5"/>
              </w:numPr>
              <w:spacing w:before="60" w:after="60" w:line="240" w:lineRule="auto"/>
              <w:ind w:left="0" w:right="34" w:firstLine="0"/>
              <w:contextualSpacing w:val="0"/>
              <w:rPr>
                <w:rFonts w:ascii="Calibri" w:hAnsi="Calibri"/>
                <w:color w:val="000000"/>
                <w:sz w:val="16"/>
              </w:rPr>
            </w:pPr>
          </w:p>
        </w:tc>
        <w:tc>
          <w:tcPr>
            <w:tcW w:w="10317" w:type="dxa"/>
            <w:tcBorders>
              <w:left w:val="nil"/>
            </w:tcBorders>
            <w:shd w:val="clear" w:color="auto" w:fill="D9D9D9"/>
          </w:tcPr>
          <w:p w:rsidR="007324AE" w:rsidRPr="00AE35C1" w:rsidRDefault="007324AE" w:rsidP="00363A97">
            <w:pPr>
              <w:pStyle w:val="BORDOX"/>
              <w:numPr>
                <w:ilvl w:val="0"/>
                <w:numId w:val="0"/>
              </w:numPr>
              <w:spacing w:before="60" w:after="60" w:line="240" w:lineRule="auto"/>
              <w:ind w:right="34"/>
              <w:contextualSpacing w:val="0"/>
              <w:rPr>
                <w:rFonts w:ascii="Calibri" w:hAnsi="Calibri"/>
                <w:color w:val="000000"/>
                <w:sz w:val="16"/>
              </w:rPr>
            </w:pPr>
            <w:r w:rsidRPr="00AE35C1">
              <w:rPr>
                <w:rFonts w:ascii="Calibri" w:hAnsi="Calibri"/>
                <w:color w:val="000000"/>
                <w:sz w:val="16"/>
              </w:rPr>
              <w:t>Wspieranie działań na rzecz rewitalizacji zabytkowych zespołów urbanistycznych i najcenniejszych obiektów architektury.</w:t>
            </w:r>
          </w:p>
        </w:tc>
      </w:tr>
      <w:tr w:rsidR="001A3B8F" w:rsidRPr="00AE35C1" w:rsidTr="00363A97">
        <w:tc>
          <w:tcPr>
            <w:tcW w:w="424" w:type="dxa"/>
            <w:vMerge/>
            <w:tcBorders>
              <w:righ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1142" w:type="dxa"/>
            <w:vMerge/>
            <w:tcBorders>
              <w:left w:val="nil"/>
            </w:tcBorders>
            <w:shd w:val="clear" w:color="auto" w:fill="A6A6A6"/>
          </w:tcPr>
          <w:p w:rsidR="007324AE" w:rsidRPr="00AE35C1" w:rsidRDefault="007324AE" w:rsidP="00363A97">
            <w:pPr>
              <w:suppressAutoHyphens/>
              <w:spacing w:before="60" w:after="60" w:line="240" w:lineRule="auto"/>
              <w:ind w:left="-23"/>
              <w:jc w:val="both"/>
              <w:rPr>
                <w:b/>
                <w:sz w:val="21"/>
                <w:szCs w:val="21"/>
              </w:rPr>
            </w:pPr>
          </w:p>
        </w:tc>
        <w:tc>
          <w:tcPr>
            <w:tcW w:w="285" w:type="dxa"/>
            <w:vMerge/>
            <w:tcBorders>
              <w:right w:val="nil"/>
            </w:tcBorders>
            <w:shd w:val="clear" w:color="auto" w:fill="BFBFBF"/>
          </w:tcPr>
          <w:p w:rsidR="007324AE" w:rsidRPr="00AE35C1" w:rsidRDefault="007324AE" w:rsidP="00363A97">
            <w:pPr>
              <w:suppressAutoHyphens/>
              <w:spacing w:before="60" w:after="60" w:line="240" w:lineRule="auto"/>
              <w:ind w:left="-108"/>
              <w:jc w:val="both"/>
              <w:rPr>
                <w:b/>
                <w:color w:val="404040"/>
                <w:sz w:val="20"/>
                <w:szCs w:val="20"/>
              </w:rPr>
            </w:pPr>
          </w:p>
        </w:tc>
        <w:tc>
          <w:tcPr>
            <w:tcW w:w="2544" w:type="dxa"/>
            <w:vMerge/>
            <w:tcBorders>
              <w:left w:val="nil"/>
            </w:tcBorders>
            <w:shd w:val="clear" w:color="auto" w:fill="BFBFBF"/>
          </w:tcPr>
          <w:p w:rsidR="007324AE" w:rsidRPr="00AE35C1" w:rsidRDefault="007324AE" w:rsidP="00363A97">
            <w:pPr>
              <w:suppressAutoHyphens/>
              <w:spacing w:before="60" w:after="60" w:line="240" w:lineRule="auto"/>
              <w:ind w:left="34"/>
              <w:rPr>
                <w:b/>
                <w:color w:val="404040"/>
                <w:sz w:val="20"/>
                <w:szCs w:val="20"/>
              </w:rPr>
            </w:pPr>
          </w:p>
        </w:tc>
        <w:tc>
          <w:tcPr>
            <w:tcW w:w="567" w:type="dxa"/>
            <w:tcBorders>
              <w:right w:val="nil"/>
            </w:tcBorders>
            <w:shd w:val="clear" w:color="auto" w:fill="D9D9D9"/>
          </w:tcPr>
          <w:p w:rsidR="007324AE" w:rsidRPr="00AE35C1" w:rsidRDefault="007324AE" w:rsidP="00363A97">
            <w:pPr>
              <w:pStyle w:val="BORDOX"/>
              <w:numPr>
                <w:ilvl w:val="2"/>
                <w:numId w:val="5"/>
              </w:numPr>
              <w:spacing w:before="60" w:after="60" w:line="240" w:lineRule="auto"/>
              <w:ind w:left="0" w:right="34" w:firstLine="0"/>
              <w:contextualSpacing w:val="0"/>
              <w:rPr>
                <w:rFonts w:ascii="Calibri" w:hAnsi="Calibri"/>
                <w:color w:val="000000"/>
                <w:sz w:val="16"/>
              </w:rPr>
            </w:pPr>
          </w:p>
        </w:tc>
        <w:tc>
          <w:tcPr>
            <w:tcW w:w="10317" w:type="dxa"/>
            <w:tcBorders>
              <w:left w:val="nil"/>
            </w:tcBorders>
            <w:shd w:val="clear" w:color="auto" w:fill="D9D9D9"/>
          </w:tcPr>
          <w:p w:rsidR="007324AE" w:rsidRPr="00AE35C1" w:rsidRDefault="007324AE" w:rsidP="00363A97">
            <w:pPr>
              <w:pStyle w:val="BORDOX"/>
              <w:numPr>
                <w:ilvl w:val="0"/>
                <w:numId w:val="0"/>
              </w:numPr>
              <w:spacing w:before="60" w:after="60" w:line="240" w:lineRule="auto"/>
              <w:ind w:right="34"/>
              <w:contextualSpacing w:val="0"/>
              <w:rPr>
                <w:rFonts w:ascii="Calibri" w:hAnsi="Calibri"/>
                <w:color w:val="000000"/>
                <w:sz w:val="16"/>
              </w:rPr>
            </w:pPr>
            <w:r w:rsidRPr="00AE35C1">
              <w:rPr>
                <w:rFonts w:ascii="Calibri" w:hAnsi="Calibri"/>
                <w:color w:val="000000"/>
                <w:sz w:val="16"/>
              </w:rPr>
              <w:t>Programowanie i realizacja prac urządzeniowo-rolnych, działania na rzecz scalania gruntów rolnych oraz melioracji.</w:t>
            </w:r>
          </w:p>
        </w:tc>
      </w:tr>
    </w:tbl>
    <w:p w:rsidR="003F70EE" w:rsidRPr="00AE35C1" w:rsidRDefault="003F70EE"/>
    <w:tbl>
      <w:tblPr>
        <w:tblW w:w="14885" w:type="dxa"/>
        <w:tblInd w:w="-449"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shd w:val="clear" w:color="auto" w:fill="D9D9D9"/>
        <w:tblLook w:val="04A0"/>
      </w:tblPr>
      <w:tblGrid>
        <w:gridCol w:w="421"/>
        <w:gridCol w:w="1134"/>
        <w:gridCol w:w="283"/>
        <w:gridCol w:w="2675"/>
        <w:gridCol w:w="585"/>
        <w:gridCol w:w="9787"/>
      </w:tblGrid>
      <w:tr w:rsidR="001A3B8F" w:rsidRPr="00AE35C1" w:rsidTr="00FD0968">
        <w:tc>
          <w:tcPr>
            <w:tcW w:w="1555" w:type="dxa"/>
            <w:gridSpan w:val="2"/>
            <w:tcBorders>
              <w:bottom w:val="single" w:sz="18" w:space="0" w:color="FFFFFF"/>
            </w:tcBorders>
            <w:shd w:val="clear" w:color="auto" w:fill="A6A6A6"/>
            <w:vAlign w:val="center"/>
          </w:tcPr>
          <w:p w:rsidR="007324AE" w:rsidRPr="00AE35C1" w:rsidRDefault="007324AE" w:rsidP="00FD0968">
            <w:pPr>
              <w:pStyle w:val="Akapitzlist"/>
              <w:suppressAutoHyphens/>
              <w:spacing w:after="0" w:line="360" w:lineRule="auto"/>
              <w:ind w:left="0"/>
              <w:jc w:val="center"/>
              <w:rPr>
                <w:b/>
                <w:color w:val="FFFFFF"/>
                <w:sz w:val="20"/>
                <w:szCs w:val="21"/>
              </w:rPr>
            </w:pPr>
            <w:r w:rsidRPr="00AE35C1">
              <w:rPr>
                <w:b/>
                <w:bCs/>
                <w:color w:val="FFFFFF"/>
                <w:sz w:val="20"/>
                <w:szCs w:val="21"/>
              </w:rPr>
              <w:t xml:space="preserve">CEL </w:t>
            </w:r>
            <w:r w:rsidRPr="00AE35C1">
              <w:rPr>
                <w:b/>
                <w:bCs/>
                <w:color w:val="FFFFFF"/>
                <w:sz w:val="20"/>
                <w:szCs w:val="21"/>
              </w:rPr>
              <w:lastRenderedPageBreak/>
              <w:t>STRATEGICZNY</w:t>
            </w:r>
          </w:p>
        </w:tc>
        <w:tc>
          <w:tcPr>
            <w:tcW w:w="2958" w:type="dxa"/>
            <w:gridSpan w:val="2"/>
            <w:tcBorders>
              <w:bottom w:val="single" w:sz="18" w:space="0" w:color="FFFFFF"/>
            </w:tcBorders>
            <w:shd w:val="clear" w:color="auto" w:fill="BFBFBF"/>
            <w:vAlign w:val="center"/>
          </w:tcPr>
          <w:p w:rsidR="007324AE" w:rsidRPr="00AE35C1" w:rsidRDefault="007324AE" w:rsidP="00FD0968">
            <w:pPr>
              <w:suppressAutoHyphens/>
              <w:spacing w:after="0" w:line="360" w:lineRule="auto"/>
              <w:jc w:val="center"/>
              <w:rPr>
                <w:b/>
                <w:color w:val="FFFFFF"/>
                <w:sz w:val="20"/>
                <w:szCs w:val="21"/>
              </w:rPr>
            </w:pPr>
            <w:r w:rsidRPr="00AE35C1">
              <w:rPr>
                <w:b/>
                <w:color w:val="FFFFFF"/>
                <w:sz w:val="20"/>
                <w:szCs w:val="21"/>
              </w:rPr>
              <w:lastRenderedPageBreak/>
              <w:t>CEL OPERACYJNY</w:t>
            </w:r>
          </w:p>
        </w:tc>
        <w:tc>
          <w:tcPr>
            <w:tcW w:w="10372" w:type="dxa"/>
            <w:gridSpan w:val="2"/>
            <w:tcBorders>
              <w:bottom w:val="single" w:sz="18" w:space="0" w:color="FFFFFF"/>
            </w:tcBorders>
            <w:shd w:val="clear" w:color="auto" w:fill="D9D9D9"/>
            <w:vAlign w:val="center"/>
          </w:tcPr>
          <w:p w:rsidR="007324AE" w:rsidRPr="00AE35C1" w:rsidRDefault="007324AE" w:rsidP="00FD0968">
            <w:pPr>
              <w:spacing w:after="0" w:line="360" w:lineRule="auto"/>
              <w:rPr>
                <w:b/>
                <w:color w:val="FFFFFF"/>
                <w:sz w:val="20"/>
                <w:szCs w:val="21"/>
              </w:rPr>
            </w:pPr>
            <w:r w:rsidRPr="00AE35C1">
              <w:rPr>
                <w:b/>
                <w:color w:val="FFFFFF"/>
                <w:sz w:val="20"/>
                <w:szCs w:val="21"/>
              </w:rPr>
              <w:t>KIERUNKI DZIAŁAŃ STRATEGICZNYCH:</w:t>
            </w:r>
          </w:p>
        </w:tc>
      </w:tr>
      <w:tr w:rsidR="001A3B8F" w:rsidRPr="00AE35C1" w:rsidTr="00FD0968">
        <w:tc>
          <w:tcPr>
            <w:tcW w:w="421" w:type="dxa"/>
            <w:vMerge w:val="restart"/>
            <w:tcBorders>
              <w:right w:val="nil"/>
            </w:tcBorders>
            <w:shd w:val="clear" w:color="auto" w:fill="A6A6A6"/>
          </w:tcPr>
          <w:p w:rsidR="007324AE" w:rsidRPr="00AE35C1" w:rsidRDefault="007324AE" w:rsidP="00FD0968">
            <w:pPr>
              <w:pStyle w:val="Akapitzlist"/>
              <w:numPr>
                <w:ilvl w:val="0"/>
                <w:numId w:val="5"/>
              </w:numPr>
              <w:spacing w:after="0" w:line="360" w:lineRule="auto"/>
              <w:ind w:left="-23" w:firstLine="0"/>
              <w:rPr>
                <w:b/>
                <w:bCs/>
              </w:rPr>
            </w:pPr>
          </w:p>
        </w:tc>
        <w:tc>
          <w:tcPr>
            <w:tcW w:w="1134" w:type="dxa"/>
            <w:vMerge w:val="restart"/>
            <w:tcBorders>
              <w:left w:val="nil"/>
            </w:tcBorders>
            <w:shd w:val="clear" w:color="auto" w:fill="A6A6A6"/>
            <w:textDirection w:val="btLr"/>
          </w:tcPr>
          <w:p w:rsidR="007324AE" w:rsidRPr="00AE35C1" w:rsidRDefault="007324AE" w:rsidP="00FD0968">
            <w:pPr>
              <w:pStyle w:val="Akapitzlist"/>
              <w:spacing w:after="0" w:line="360" w:lineRule="auto"/>
              <w:ind w:left="-23" w:right="113"/>
              <w:jc w:val="center"/>
              <w:rPr>
                <w:b/>
                <w:bCs/>
              </w:rPr>
            </w:pPr>
            <w:r w:rsidRPr="00AE35C1">
              <w:rPr>
                <w:b/>
                <w:bCs/>
              </w:rPr>
              <w:t>POPRAWA JAKOŚCI I DOSTĘPNOŚCI USŁUG PUBLICZNYCH</w:t>
            </w:r>
          </w:p>
        </w:tc>
        <w:tc>
          <w:tcPr>
            <w:tcW w:w="283" w:type="dxa"/>
            <w:vMerge w:val="restart"/>
            <w:tcBorders>
              <w:right w:val="nil"/>
            </w:tcBorders>
            <w:shd w:val="clear" w:color="auto" w:fill="BFBFBF"/>
          </w:tcPr>
          <w:p w:rsidR="007324AE" w:rsidRPr="00AE35C1" w:rsidRDefault="007324AE" w:rsidP="00FD0968">
            <w:pPr>
              <w:pStyle w:val="Akapitzlist"/>
              <w:numPr>
                <w:ilvl w:val="1"/>
                <w:numId w:val="5"/>
              </w:numPr>
              <w:suppressAutoHyphens/>
              <w:spacing w:after="0" w:line="360" w:lineRule="auto"/>
              <w:ind w:left="-108" w:firstLine="0"/>
              <w:contextualSpacing w:val="0"/>
              <w:jc w:val="both"/>
              <w:rPr>
                <w:b/>
                <w:color w:val="000000"/>
                <w:sz w:val="18"/>
                <w:szCs w:val="20"/>
              </w:rPr>
            </w:pPr>
          </w:p>
        </w:tc>
        <w:tc>
          <w:tcPr>
            <w:tcW w:w="2675" w:type="dxa"/>
            <w:vMerge w:val="restart"/>
            <w:tcBorders>
              <w:left w:val="nil"/>
            </w:tcBorders>
            <w:shd w:val="clear" w:color="auto" w:fill="BFBFBF"/>
          </w:tcPr>
          <w:p w:rsidR="007324AE" w:rsidRPr="00AE35C1" w:rsidRDefault="007324AE" w:rsidP="00FD0968">
            <w:pPr>
              <w:pStyle w:val="Akapitzlist"/>
              <w:suppressAutoHyphens/>
              <w:spacing w:after="0" w:line="360" w:lineRule="auto"/>
              <w:ind w:left="34"/>
              <w:contextualSpacing w:val="0"/>
              <w:rPr>
                <w:b/>
                <w:color w:val="000000"/>
                <w:sz w:val="18"/>
                <w:szCs w:val="20"/>
              </w:rPr>
            </w:pPr>
            <w:r w:rsidRPr="00AE35C1">
              <w:rPr>
                <w:b/>
                <w:color w:val="000000"/>
                <w:sz w:val="18"/>
                <w:szCs w:val="20"/>
              </w:rPr>
              <w:t>Poprawa stanu</w:t>
            </w:r>
            <w:r w:rsidRPr="00AE35C1">
              <w:rPr>
                <w:color w:val="000000"/>
                <w:sz w:val="18"/>
                <w:szCs w:val="20"/>
              </w:rPr>
              <w:t xml:space="preserve"> </w:t>
            </w:r>
            <w:r w:rsidRPr="00AE35C1">
              <w:rPr>
                <w:b/>
                <w:color w:val="000000"/>
                <w:sz w:val="18"/>
                <w:szCs w:val="20"/>
              </w:rPr>
              <w:t>regionalnej infrastruktury technicznej</w:t>
            </w:r>
          </w:p>
        </w:tc>
        <w:tc>
          <w:tcPr>
            <w:tcW w:w="585"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Wspieranie działań zwiększających dostępność do źródeł wody oraz infrastruktury odprowadzania i oczyszczania ścieków.</w:t>
            </w:r>
          </w:p>
        </w:tc>
      </w:tr>
      <w:tr w:rsidR="001A3B8F" w:rsidRPr="00AE35C1" w:rsidTr="00FD0968">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85"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Wspieranie i rozwój sieciowych systemów energetycznych</w:t>
            </w:r>
            <w:r w:rsidR="00266543" w:rsidRPr="00AE35C1">
              <w:rPr>
                <w:color w:val="000000"/>
                <w:sz w:val="16"/>
                <w:szCs w:val="18"/>
              </w:rPr>
              <w:t xml:space="preserve"> oraz eliminowanie zagrożeń powodowanych przez ekstremalne zjawiska atmosferyczne.</w:t>
            </w:r>
          </w:p>
        </w:tc>
      </w:tr>
      <w:tr w:rsidR="001A3B8F" w:rsidRPr="00AE35C1" w:rsidTr="00FD0968">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85" w:type="dxa"/>
            <w:tcBorders>
              <w:right w:val="nil"/>
            </w:tcBorders>
            <w:shd w:val="clear" w:color="auto" w:fill="D9D9D9"/>
          </w:tcPr>
          <w:p w:rsidR="007324AE" w:rsidRPr="00AE35C1" w:rsidRDefault="007324AE" w:rsidP="00FD0968">
            <w:pPr>
              <w:pStyle w:val="Bezodstpw"/>
              <w:numPr>
                <w:ilvl w:val="2"/>
                <w:numId w:val="5"/>
              </w:numPr>
              <w:spacing w:after="120"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after="120" w:line="360" w:lineRule="auto"/>
              <w:jc w:val="both"/>
              <w:rPr>
                <w:color w:val="000000"/>
                <w:sz w:val="16"/>
                <w:szCs w:val="18"/>
              </w:rPr>
            </w:pPr>
            <w:r w:rsidRPr="00AE35C1">
              <w:rPr>
                <w:color w:val="000000"/>
                <w:sz w:val="16"/>
                <w:szCs w:val="18"/>
              </w:rPr>
              <w:t>Wspieranie działań w zakresie efektywnej gospodarki odpadami.</w:t>
            </w:r>
          </w:p>
        </w:tc>
      </w:tr>
      <w:tr w:rsidR="001A3B8F" w:rsidRPr="00AE35C1" w:rsidTr="00FD0968">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7324AE" w:rsidRPr="00AE35C1" w:rsidRDefault="007324AE" w:rsidP="00FD0968">
            <w:pPr>
              <w:pStyle w:val="Akapitzlist"/>
              <w:numPr>
                <w:ilvl w:val="1"/>
                <w:numId w:val="5"/>
              </w:numPr>
              <w:suppressAutoHyphens/>
              <w:spacing w:after="0" w:line="360" w:lineRule="auto"/>
              <w:ind w:left="-108" w:firstLine="0"/>
              <w:contextualSpacing w:val="0"/>
              <w:jc w:val="both"/>
              <w:rPr>
                <w:b/>
                <w:color w:val="000000"/>
                <w:sz w:val="18"/>
                <w:szCs w:val="20"/>
              </w:rPr>
            </w:pPr>
          </w:p>
        </w:tc>
        <w:tc>
          <w:tcPr>
            <w:tcW w:w="2675" w:type="dxa"/>
            <w:vMerge w:val="restart"/>
            <w:tcBorders>
              <w:left w:val="nil"/>
            </w:tcBorders>
            <w:shd w:val="clear" w:color="auto" w:fill="BFBFBF"/>
          </w:tcPr>
          <w:p w:rsidR="007324AE" w:rsidRPr="00AE35C1" w:rsidRDefault="007324AE" w:rsidP="007B740D">
            <w:pPr>
              <w:pStyle w:val="Akapitzlist"/>
              <w:suppressAutoHyphens/>
              <w:spacing w:after="0" w:line="360" w:lineRule="auto"/>
              <w:ind w:left="34"/>
              <w:contextualSpacing w:val="0"/>
              <w:rPr>
                <w:b/>
                <w:color w:val="404040"/>
                <w:sz w:val="18"/>
                <w:szCs w:val="20"/>
              </w:rPr>
            </w:pPr>
            <w:r w:rsidRPr="00AE35C1">
              <w:rPr>
                <w:b/>
                <w:color w:val="000000"/>
                <w:sz w:val="18"/>
                <w:szCs w:val="20"/>
              </w:rPr>
              <w:t xml:space="preserve">Rozwój i modernizacja regionalnej infrastruktury </w:t>
            </w:r>
            <w:r w:rsidR="007B740D">
              <w:rPr>
                <w:b/>
                <w:color w:val="000000"/>
                <w:sz w:val="18"/>
                <w:szCs w:val="20"/>
              </w:rPr>
              <w:t>publicznej</w:t>
            </w:r>
            <w:r w:rsidR="007B740D" w:rsidRPr="00AE35C1">
              <w:rPr>
                <w:b/>
                <w:color w:val="000000"/>
                <w:sz w:val="18"/>
                <w:szCs w:val="20"/>
              </w:rPr>
              <w:t xml:space="preserve"> </w:t>
            </w:r>
            <w:r w:rsidRPr="00AE35C1">
              <w:rPr>
                <w:b/>
                <w:color w:val="000000"/>
                <w:sz w:val="18"/>
                <w:szCs w:val="20"/>
              </w:rPr>
              <w:t xml:space="preserve">z uwzględnieniem potrzeb osób </w:t>
            </w:r>
            <w:r w:rsidR="00DC2EC5" w:rsidRPr="00AE35C1">
              <w:rPr>
                <w:b/>
                <w:color w:val="000000"/>
                <w:sz w:val="18"/>
                <w:szCs w:val="20"/>
              </w:rPr>
              <w:br/>
            </w:r>
            <w:r w:rsidR="00EB0786" w:rsidRPr="00AE35C1">
              <w:rPr>
                <w:b/>
                <w:color w:val="000000"/>
                <w:sz w:val="18"/>
                <w:szCs w:val="20"/>
              </w:rPr>
              <w:t xml:space="preserve">z niepełnosprawnościami </w:t>
            </w:r>
            <w:r w:rsidR="00DC2EC5" w:rsidRPr="00AE35C1">
              <w:rPr>
                <w:b/>
                <w:color w:val="000000"/>
                <w:sz w:val="18"/>
                <w:szCs w:val="20"/>
              </w:rPr>
              <w:br/>
            </w:r>
            <w:r w:rsidR="00EB0786" w:rsidRPr="00AE35C1">
              <w:rPr>
                <w:b/>
                <w:color w:val="000000"/>
                <w:sz w:val="18"/>
                <w:szCs w:val="20"/>
              </w:rPr>
              <w:t>i starszych</w:t>
            </w:r>
            <w:r w:rsidR="009F2C60" w:rsidRPr="00AE35C1">
              <w:rPr>
                <w:b/>
                <w:color w:val="000000"/>
                <w:sz w:val="18"/>
                <w:szCs w:val="20"/>
              </w:rPr>
              <w:t xml:space="preserve"> </w:t>
            </w:r>
          </w:p>
        </w:tc>
        <w:tc>
          <w:tcPr>
            <w:tcW w:w="585"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Wspieranie inwestycji w infrastrukturę sportowo-rekreacyjną.</w:t>
            </w:r>
          </w:p>
        </w:tc>
      </w:tr>
      <w:tr w:rsidR="001A3B8F" w:rsidRPr="00AE35C1" w:rsidTr="00FD0968">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85"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Zapewnienie opieki dziennej oraz edukacji dzieciom poprzez wsparcie budowy/ rozbudowy żłobków i przedszkoli.</w:t>
            </w:r>
          </w:p>
        </w:tc>
      </w:tr>
      <w:tr w:rsidR="001A3B8F" w:rsidRPr="00AE35C1" w:rsidTr="00FD0968">
        <w:trPr>
          <w:trHeight w:val="704"/>
        </w:trPr>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85"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 xml:space="preserve">Rozwój i dostosowanie infrastruktury </w:t>
            </w:r>
            <w:r w:rsidR="006C4680">
              <w:rPr>
                <w:color w:val="000000"/>
                <w:sz w:val="16"/>
                <w:szCs w:val="18"/>
              </w:rPr>
              <w:t>publicznej</w:t>
            </w:r>
            <w:r w:rsidRPr="00AE35C1">
              <w:rPr>
                <w:color w:val="000000"/>
                <w:sz w:val="16"/>
                <w:szCs w:val="18"/>
              </w:rPr>
              <w:t xml:space="preserve"> do uwarunkowań społeczno-demograficznych, w szczególności do potrzeb osób </w:t>
            </w:r>
            <w:r w:rsidR="00656B2D" w:rsidRPr="00AE35C1">
              <w:rPr>
                <w:color w:val="000000"/>
                <w:sz w:val="16"/>
                <w:szCs w:val="18"/>
              </w:rPr>
              <w:t>z </w:t>
            </w:r>
            <w:r w:rsidR="0003504E" w:rsidRPr="00AE35C1">
              <w:rPr>
                <w:color w:val="000000"/>
                <w:sz w:val="16"/>
                <w:szCs w:val="18"/>
              </w:rPr>
              <w:t>niepełnosprawnościami</w:t>
            </w:r>
            <w:r w:rsidR="00D96C9A" w:rsidRPr="00AE35C1">
              <w:rPr>
                <w:color w:val="000000"/>
                <w:sz w:val="16"/>
                <w:szCs w:val="18"/>
              </w:rPr>
              <w:t>, słabszych</w:t>
            </w:r>
            <w:r w:rsidR="0003504E" w:rsidRPr="00AE35C1">
              <w:rPr>
                <w:color w:val="000000"/>
                <w:sz w:val="16"/>
                <w:szCs w:val="18"/>
              </w:rPr>
              <w:t xml:space="preserve"> i starszych</w:t>
            </w:r>
            <w:r w:rsidRPr="00AE35C1">
              <w:rPr>
                <w:color w:val="000000"/>
                <w:sz w:val="16"/>
                <w:szCs w:val="18"/>
              </w:rPr>
              <w:t>.</w:t>
            </w:r>
          </w:p>
        </w:tc>
      </w:tr>
      <w:tr w:rsidR="001A3B8F" w:rsidRPr="00AE35C1" w:rsidTr="00FD0968">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7324AE" w:rsidRPr="00AE35C1" w:rsidRDefault="007324AE" w:rsidP="00FD0968">
            <w:pPr>
              <w:pStyle w:val="Akapitzlist"/>
              <w:numPr>
                <w:ilvl w:val="1"/>
                <w:numId w:val="5"/>
              </w:numPr>
              <w:suppressAutoHyphens/>
              <w:spacing w:after="0" w:line="360" w:lineRule="auto"/>
              <w:ind w:left="-108" w:firstLine="0"/>
              <w:contextualSpacing w:val="0"/>
              <w:jc w:val="both"/>
              <w:rPr>
                <w:b/>
                <w:color w:val="000000"/>
                <w:sz w:val="18"/>
                <w:szCs w:val="20"/>
              </w:rPr>
            </w:pPr>
          </w:p>
        </w:tc>
        <w:tc>
          <w:tcPr>
            <w:tcW w:w="2675" w:type="dxa"/>
            <w:vMerge w:val="restart"/>
            <w:tcBorders>
              <w:left w:val="nil"/>
            </w:tcBorders>
            <w:shd w:val="clear" w:color="auto" w:fill="BFBFBF"/>
          </w:tcPr>
          <w:p w:rsidR="007324AE" w:rsidRPr="00AE35C1" w:rsidRDefault="007324AE" w:rsidP="00FD0968">
            <w:pPr>
              <w:pStyle w:val="Akapitzlist"/>
              <w:suppressAutoHyphens/>
              <w:spacing w:after="0" w:line="360" w:lineRule="auto"/>
              <w:ind w:left="34"/>
              <w:contextualSpacing w:val="0"/>
              <w:rPr>
                <w:b/>
                <w:color w:val="000000"/>
                <w:sz w:val="18"/>
                <w:szCs w:val="20"/>
              </w:rPr>
            </w:pPr>
            <w:r w:rsidRPr="00AE35C1">
              <w:rPr>
                <w:b/>
                <w:color w:val="000000"/>
                <w:sz w:val="18"/>
                <w:szCs w:val="20"/>
              </w:rPr>
              <w:t>Rozwój i doskonalenie usług publicznych</w:t>
            </w:r>
          </w:p>
        </w:tc>
        <w:tc>
          <w:tcPr>
            <w:tcW w:w="585"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Podejmowanie działań w celu podniesienia poziomu bezpieczeństwa osobistego i publicznego.</w:t>
            </w:r>
          </w:p>
        </w:tc>
      </w:tr>
      <w:tr w:rsidR="001A3B8F" w:rsidRPr="00AE35C1" w:rsidTr="00FD0968">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20"/>
                <w:szCs w:val="20"/>
              </w:rPr>
            </w:pPr>
          </w:p>
        </w:tc>
        <w:tc>
          <w:tcPr>
            <w:tcW w:w="2675"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20"/>
                <w:szCs w:val="20"/>
              </w:rPr>
            </w:pPr>
          </w:p>
        </w:tc>
        <w:tc>
          <w:tcPr>
            <w:tcW w:w="585"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line="360" w:lineRule="auto"/>
              <w:rPr>
                <w:color w:val="000000"/>
                <w:sz w:val="16"/>
                <w:szCs w:val="18"/>
              </w:rPr>
            </w:pPr>
            <w:r w:rsidRPr="00AE35C1">
              <w:rPr>
                <w:color w:val="000000"/>
                <w:sz w:val="16"/>
                <w:szCs w:val="18"/>
              </w:rPr>
              <w:t>Podejmowanie działań służących poprawie sprawności obsługi społeczeństwa przez instytucje ad</w:t>
            </w:r>
            <w:r w:rsidR="00656B2D" w:rsidRPr="00AE35C1">
              <w:rPr>
                <w:color w:val="000000"/>
                <w:sz w:val="16"/>
                <w:szCs w:val="18"/>
              </w:rPr>
              <w:t>ministracji publicznej, w tym e-</w:t>
            </w:r>
            <w:r w:rsidRPr="00AE35C1">
              <w:rPr>
                <w:color w:val="000000"/>
                <w:sz w:val="16"/>
                <w:szCs w:val="18"/>
              </w:rPr>
              <w:t>usług publicznych.</w:t>
            </w:r>
          </w:p>
        </w:tc>
      </w:tr>
      <w:tr w:rsidR="001A3B8F" w:rsidRPr="00AE35C1" w:rsidTr="00FD0968">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20"/>
                <w:szCs w:val="20"/>
              </w:rPr>
            </w:pPr>
          </w:p>
        </w:tc>
        <w:tc>
          <w:tcPr>
            <w:tcW w:w="2675"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20"/>
                <w:szCs w:val="20"/>
              </w:rPr>
            </w:pPr>
          </w:p>
        </w:tc>
        <w:tc>
          <w:tcPr>
            <w:tcW w:w="585"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line="360" w:lineRule="auto"/>
              <w:rPr>
                <w:color w:val="000000"/>
                <w:sz w:val="16"/>
                <w:szCs w:val="18"/>
              </w:rPr>
            </w:pPr>
            <w:r w:rsidRPr="00AE35C1">
              <w:rPr>
                <w:color w:val="000000"/>
                <w:sz w:val="16"/>
                <w:szCs w:val="18"/>
              </w:rPr>
              <w:t>Podejmowanie działań dla poprawy dostępności i podniesienia jakości świadczeń zdrowotnych oraz na rzecz ograniczenia zachorowalności mieszkańców regionu.</w:t>
            </w:r>
          </w:p>
        </w:tc>
      </w:tr>
      <w:tr w:rsidR="001A3B8F" w:rsidRPr="00AE35C1" w:rsidTr="00FD0968">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20"/>
                <w:szCs w:val="20"/>
              </w:rPr>
            </w:pPr>
          </w:p>
        </w:tc>
        <w:tc>
          <w:tcPr>
            <w:tcW w:w="2675"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20"/>
                <w:szCs w:val="20"/>
              </w:rPr>
            </w:pPr>
          </w:p>
        </w:tc>
        <w:tc>
          <w:tcPr>
            <w:tcW w:w="585"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line="360" w:lineRule="auto"/>
              <w:jc w:val="both"/>
              <w:rPr>
                <w:b/>
                <w:color w:val="404040"/>
                <w:sz w:val="16"/>
                <w:szCs w:val="18"/>
              </w:rPr>
            </w:pPr>
            <w:r w:rsidRPr="00AE35C1">
              <w:rPr>
                <w:color w:val="000000"/>
                <w:sz w:val="16"/>
                <w:szCs w:val="18"/>
              </w:rPr>
              <w:t>Podejmowanie działań na rzecz upowszechniania i poprawy dostępności do kultury.</w:t>
            </w:r>
          </w:p>
        </w:tc>
      </w:tr>
      <w:tr w:rsidR="001A3B8F" w:rsidRPr="00AE35C1" w:rsidTr="00FD0968">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20"/>
                <w:szCs w:val="20"/>
              </w:rPr>
            </w:pPr>
          </w:p>
        </w:tc>
        <w:tc>
          <w:tcPr>
            <w:tcW w:w="2675"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20"/>
                <w:szCs w:val="20"/>
              </w:rPr>
            </w:pPr>
          </w:p>
        </w:tc>
        <w:tc>
          <w:tcPr>
            <w:tcW w:w="585"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Zwiększenie dostępności do usług publicznych wyższego rzędu w ośrodkach ponadlokalnych.</w:t>
            </w:r>
          </w:p>
        </w:tc>
      </w:tr>
      <w:tr w:rsidR="001A3B8F" w:rsidRPr="00AE35C1" w:rsidTr="00FD0968">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20"/>
                <w:szCs w:val="20"/>
              </w:rPr>
            </w:pPr>
          </w:p>
        </w:tc>
        <w:tc>
          <w:tcPr>
            <w:tcW w:w="2675"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20"/>
                <w:szCs w:val="20"/>
              </w:rPr>
            </w:pPr>
          </w:p>
        </w:tc>
        <w:tc>
          <w:tcPr>
            <w:tcW w:w="585" w:type="dxa"/>
            <w:tcBorders>
              <w:right w:val="nil"/>
            </w:tcBorders>
            <w:shd w:val="clear" w:color="auto" w:fill="D9D9D9"/>
          </w:tcPr>
          <w:p w:rsidR="007324AE" w:rsidRPr="00AE35C1" w:rsidRDefault="007324AE" w:rsidP="00FD0968">
            <w:pPr>
              <w:pStyle w:val="Akapitzlist"/>
              <w:numPr>
                <w:ilvl w:val="2"/>
                <w:numId w:val="5"/>
              </w:numPr>
              <w:suppressAutoHyphens/>
              <w:spacing w:after="0"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Akapitzlist"/>
              <w:suppressAutoHyphens/>
              <w:spacing w:after="0" w:line="360" w:lineRule="auto"/>
              <w:ind w:left="0"/>
              <w:jc w:val="both"/>
              <w:rPr>
                <w:b/>
                <w:color w:val="404040"/>
                <w:sz w:val="16"/>
                <w:szCs w:val="18"/>
              </w:rPr>
            </w:pPr>
            <w:r w:rsidRPr="00AE35C1">
              <w:rPr>
                <w:color w:val="000000"/>
                <w:sz w:val="16"/>
                <w:szCs w:val="18"/>
              </w:rPr>
              <w:t>Podejmowanie działań służących poprawie jakości usług publicznego transportu zbiorowego.</w:t>
            </w:r>
          </w:p>
        </w:tc>
      </w:tr>
      <w:tr w:rsidR="001A3B8F" w:rsidRPr="00AE35C1" w:rsidTr="00FD0968">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20"/>
                <w:szCs w:val="20"/>
              </w:rPr>
            </w:pPr>
          </w:p>
        </w:tc>
        <w:tc>
          <w:tcPr>
            <w:tcW w:w="2675"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20"/>
                <w:szCs w:val="20"/>
              </w:rPr>
            </w:pPr>
          </w:p>
        </w:tc>
        <w:tc>
          <w:tcPr>
            <w:tcW w:w="585" w:type="dxa"/>
            <w:tcBorders>
              <w:right w:val="nil"/>
            </w:tcBorders>
            <w:shd w:val="clear" w:color="auto" w:fill="D9D9D9"/>
          </w:tcPr>
          <w:p w:rsidR="007324AE" w:rsidRPr="00AE35C1" w:rsidRDefault="007324AE" w:rsidP="00FD0968">
            <w:pPr>
              <w:pStyle w:val="Bezodstpw"/>
              <w:numPr>
                <w:ilvl w:val="2"/>
                <w:numId w:val="5"/>
              </w:numPr>
              <w:spacing w:after="120" w:line="360" w:lineRule="auto"/>
              <w:ind w:left="0" w:firstLine="0"/>
              <w:jc w:val="both"/>
              <w:rPr>
                <w:color w:val="000000"/>
                <w:sz w:val="16"/>
                <w:szCs w:val="18"/>
              </w:rPr>
            </w:pPr>
          </w:p>
        </w:tc>
        <w:tc>
          <w:tcPr>
            <w:tcW w:w="9787" w:type="dxa"/>
            <w:tcBorders>
              <w:left w:val="nil"/>
            </w:tcBorders>
            <w:shd w:val="clear" w:color="auto" w:fill="D9D9D9"/>
          </w:tcPr>
          <w:p w:rsidR="007324AE" w:rsidRPr="00AE35C1" w:rsidRDefault="007324AE" w:rsidP="00FD0968">
            <w:pPr>
              <w:pStyle w:val="Bezodstpw"/>
              <w:spacing w:after="120" w:line="360" w:lineRule="auto"/>
              <w:jc w:val="both"/>
              <w:rPr>
                <w:color w:val="000000"/>
                <w:sz w:val="16"/>
                <w:szCs w:val="18"/>
              </w:rPr>
            </w:pPr>
            <w:r w:rsidRPr="00AE35C1">
              <w:rPr>
                <w:color w:val="000000"/>
                <w:sz w:val="16"/>
                <w:szCs w:val="18"/>
              </w:rPr>
              <w:t>Współpraca jednostek samorządu terytorialnego dla efektywnej realizacji usług publicznych.</w:t>
            </w:r>
          </w:p>
        </w:tc>
      </w:tr>
    </w:tbl>
    <w:p w:rsidR="007324AE" w:rsidRPr="00AE35C1" w:rsidRDefault="007324AE">
      <w:pPr>
        <w:rPr>
          <w:b/>
          <w:color w:val="404040"/>
          <w:sz w:val="21"/>
          <w:szCs w:val="21"/>
        </w:rPr>
      </w:pPr>
    </w:p>
    <w:p w:rsidR="007324AE" w:rsidRPr="00AE35C1" w:rsidRDefault="007324AE">
      <w:pPr>
        <w:rPr>
          <w:b/>
          <w:color w:val="404040"/>
          <w:sz w:val="21"/>
          <w:szCs w:val="21"/>
        </w:rPr>
      </w:pPr>
    </w:p>
    <w:p w:rsidR="007324AE" w:rsidRDefault="007324AE">
      <w:pPr>
        <w:rPr>
          <w:b/>
          <w:color w:val="404040"/>
          <w:sz w:val="21"/>
          <w:szCs w:val="21"/>
        </w:rPr>
      </w:pPr>
    </w:p>
    <w:p w:rsidR="00363A97" w:rsidRPr="00AE35C1" w:rsidRDefault="00363A97">
      <w:pPr>
        <w:rPr>
          <w:b/>
          <w:color w:val="404040"/>
          <w:sz w:val="21"/>
          <w:szCs w:val="21"/>
        </w:rPr>
      </w:pPr>
    </w:p>
    <w:p w:rsidR="003F70EE" w:rsidRPr="00AE35C1" w:rsidRDefault="003F70EE">
      <w:pPr>
        <w:rPr>
          <w:b/>
          <w:color w:val="404040"/>
          <w:sz w:val="21"/>
          <w:szCs w:val="21"/>
        </w:rPr>
      </w:pPr>
    </w:p>
    <w:p w:rsidR="003F70EE" w:rsidRPr="00AE35C1" w:rsidRDefault="003F70EE">
      <w:pPr>
        <w:rPr>
          <w:b/>
          <w:color w:val="404040"/>
          <w:sz w:val="21"/>
          <w:szCs w:val="21"/>
        </w:rPr>
      </w:pPr>
    </w:p>
    <w:tbl>
      <w:tblPr>
        <w:tblW w:w="15027" w:type="dxa"/>
        <w:tblInd w:w="-449"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shd w:val="clear" w:color="auto" w:fill="D9D9D9"/>
        <w:tblLook w:val="04A0"/>
      </w:tblPr>
      <w:tblGrid>
        <w:gridCol w:w="421"/>
        <w:gridCol w:w="1134"/>
        <w:gridCol w:w="283"/>
        <w:gridCol w:w="2699"/>
        <w:gridCol w:w="561"/>
        <w:gridCol w:w="9929"/>
      </w:tblGrid>
      <w:tr w:rsidR="001A3B8F" w:rsidRPr="00AE35C1" w:rsidTr="003F70EE">
        <w:tc>
          <w:tcPr>
            <w:tcW w:w="1555" w:type="dxa"/>
            <w:gridSpan w:val="2"/>
            <w:tcBorders>
              <w:bottom w:val="single" w:sz="18" w:space="0" w:color="FFFFFF"/>
            </w:tcBorders>
            <w:shd w:val="clear" w:color="auto" w:fill="A6A6A6"/>
            <w:vAlign w:val="center"/>
          </w:tcPr>
          <w:p w:rsidR="007324AE" w:rsidRPr="00AE35C1" w:rsidRDefault="007324AE" w:rsidP="00FD0968">
            <w:pPr>
              <w:pStyle w:val="Akapitzlist"/>
              <w:suppressAutoHyphens/>
              <w:spacing w:after="0" w:line="360" w:lineRule="auto"/>
              <w:ind w:left="0"/>
              <w:jc w:val="center"/>
              <w:rPr>
                <w:b/>
                <w:color w:val="FFFFFF"/>
                <w:sz w:val="20"/>
                <w:szCs w:val="21"/>
              </w:rPr>
            </w:pPr>
            <w:r w:rsidRPr="00AE35C1">
              <w:rPr>
                <w:b/>
                <w:bCs/>
                <w:color w:val="FFFFFF"/>
                <w:sz w:val="20"/>
                <w:szCs w:val="21"/>
              </w:rPr>
              <w:t xml:space="preserve">CEL </w:t>
            </w:r>
            <w:r w:rsidRPr="00AE35C1">
              <w:rPr>
                <w:b/>
                <w:bCs/>
                <w:color w:val="FFFFFF"/>
                <w:sz w:val="20"/>
                <w:szCs w:val="21"/>
              </w:rPr>
              <w:lastRenderedPageBreak/>
              <w:t>STRATEGICZNY</w:t>
            </w:r>
          </w:p>
        </w:tc>
        <w:tc>
          <w:tcPr>
            <w:tcW w:w="2982" w:type="dxa"/>
            <w:gridSpan w:val="2"/>
            <w:tcBorders>
              <w:bottom w:val="single" w:sz="18" w:space="0" w:color="FFFFFF"/>
            </w:tcBorders>
            <w:shd w:val="clear" w:color="auto" w:fill="BFBFBF"/>
            <w:vAlign w:val="center"/>
          </w:tcPr>
          <w:p w:rsidR="007324AE" w:rsidRPr="00AE35C1" w:rsidRDefault="007324AE" w:rsidP="00FD0968">
            <w:pPr>
              <w:suppressAutoHyphens/>
              <w:spacing w:after="0" w:line="360" w:lineRule="auto"/>
              <w:jc w:val="center"/>
              <w:rPr>
                <w:b/>
                <w:color w:val="FFFFFF"/>
                <w:sz w:val="20"/>
                <w:szCs w:val="21"/>
              </w:rPr>
            </w:pPr>
            <w:r w:rsidRPr="00AE35C1">
              <w:rPr>
                <w:b/>
                <w:color w:val="FFFFFF"/>
                <w:sz w:val="20"/>
                <w:szCs w:val="21"/>
              </w:rPr>
              <w:lastRenderedPageBreak/>
              <w:t>CEL OPERACYJNY</w:t>
            </w:r>
          </w:p>
        </w:tc>
        <w:tc>
          <w:tcPr>
            <w:tcW w:w="10490" w:type="dxa"/>
            <w:gridSpan w:val="2"/>
            <w:tcBorders>
              <w:bottom w:val="single" w:sz="18" w:space="0" w:color="FFFFFF"/>
            </w:tcBorders>
            <w:shd w:val="clear" w:color="auto" w:fill="D9D9D9"/>
            <w:vAlign w:val="center"/>
          </w:tcPr>
          <w:p w:rsidR="007324AE" w:rsidRPr="00AE35C1" w:rsidRDefault="007324AE" w:rsidP="00FD0968">
            <w:pPr>
              <w:spacing w:after="0" w:line="360" w:lineRule="auto"/>
              <w:rPr>
                <w:b/>
                <w:color w:val="FFFFFF"/>
                <w:sz w:val="20"/>
                <w:szCs w:val="21"/>
              </w:rPr>
            </w:pPr>
            <w:r w:rsidRPr="00AE35C1">
              <w:rPr>
                <w:b/>
                <w:color w:val="FFFFFF"/>
                <w:sz w:val="20"/>
                <w:szCs w:val="21"/>
              </w:rPr>
              <w:t>KIERUNKI DZIAŁAŃ STRATEGICZNYCH:</w:t>
            </w:r>
          </w:p>
        </w:tc>
      </w:tr>
      <w:tr w:rsidR="005B2214" w:rsidRPr="00AE35C1" w:rsidTr="003F70EE">
        <w:tc>
          <w:tcPr>
            <w:tcW w:w="421" w:type="dxa"/>
            <w:vMerge w:val="restart"/>
            <w:tcBorders>
              <w:right w:val="nil"/>
            </w:tcBorders>
            <w:shd w:val="clear" w:color="auto" w:fill="A6A6A6"/>
          </w:tcPr>
          <w:p w:rsidR="005B2214" w:rsidRPr="00AE35C1" w:rsidRDefault="005B2214" w:rsidP="00FD0968">
            <w:pPr>
              <w:pStyle w:val="Akapitzlist"/>
              <w:numPr>
                <w:ilvl w:val="0"/>
                <w:numId w:val="5"/>
              </w:numPr>
              <w:suppressAutoHyphens/>
              <w:spacing w:before="300" w:after="0" w:line="360" w:lineRule="auto"/>
              <w:ind w:left="-23" w:firstLine="0"/>
              <w:jc w:val="both"/>
              <w:rPr>
                <w:b/>
                <w:bCs/>
                <w:sz w:val="21"/>
                <w:szCs w:val="21"/>
              </w:rPr>
            </w:pPr>
          </w:p>
        </w:tc>
        <w:tc>
          <w:tcPr>
            <w:tcW w:w="1134" w:type="dxa"/>
            <w:vMerge w:val="restart"/>
            <w:tcBorders>
              <w:left w:val="nil"/>
            </w:tcBorders>
            <w:shd w:val="clear" w:color="auto" w:fill="A6A6A6"/>
            <w:textDirection w:val="btLr"/>
          </w:tcPr>
          <w:p w:rsidR="005B2214" w:rsidRPr="00AE35C1" w:rsidRDefault="005B2214" w:rsidP="00FD0968">
            <w:pPr>
              <w:pStyle w:val="Akapitzlist"/>
              <w:suppressAutoHyphens/>
              <w:spacing w:before="300" w:after="0" w:line="360" w:lineRule="auto"/>
              <w:ind w:left="-23" w:right="113"/>
              <w:jc w:val="center"/>
              <w:rPr>
                <w:b/>
                <w:bCs/>
                <w:sz w:val="21"/>
                <w:szCs w:val="21"/>
              </w:rPr>
            </w:pPr>
            <w:r w:rsidRPr="00AE35C1">
              <w:rPr>
                <w:b/>
                <w:bCs/>
                <w:sz w:val="21"/>
                <w:szCs w:val="21"/>
              </w:rPr>
              <w:t>WZMOCNIENIE REGIONALNEGO KAPITAŁU LUDZKIEGO I SPOŁECZNEGO</w:t>
            </w:r>
          </w:p>
          <w:p w:rsidR="005B2214" w:rsidRPr="00AE35C1" w:rsidRDefault="005B2214" w:rsidP="00FD0968">
            <w:pPr>
              <w:suppressAutoHyphens/>
              <w:spacing w:after="0" w:line="360" w:lineRule="auto"/>
              <w:ind w:left="-23" w:right="113"/>
              <w:jc w:val="both"/>
              <w:rPr>
                <w:b/>
                <w:sz w:val="21"/>
                <w:szCs w:val="21"/>
              </w:rPr>
            </w:pPr>
          </w:p>
        </w:tc>
        <w:tc>
          <w:tcPr>
            <w:tcW w:w="283" w:type="dxa"/>
            <w:vMerge w:val="restart"/>
            <w:tcBorders>
              <w:right w:val="nil"/>
            </w:tcBorders>
            <w:shd w:val="clear" w:color="auto" w:fill="BFBFBF"/>
          </w:tcPr>
          <w:p w:rsidR="005B2214" w:rsidRPr="00AE35C1" w:rsidRDefault="005B2214" w:rsidP="00FD0968">
            <w:pPr>
              <w:pStyle w:val="Akapitzlist"/>
              <w:numPr>
                <w:ilvl w:val="1"/>
                <w:numId w:val="5"/>
              </w:numPr>
              <w:suppressAutoHyphens/>
              <w:spacing w:after="0" w:line="360" w:lineRule="auto"/>
              <w:ind w:left="-108" w:firstLine="0"/>
              <w:jc w:val="both"/>
              <w:rPr>
                <w:b/>
                <w:color w:val="000000"/>
                <w:sz w:val="18"/>
                <w:szCs w:val="20"/>
              </w:rPr>
            </w:pPr>
          </w:p>
        </w:tc>
        <w:tc>
          <w:tcPr>
            <w:tcW w:w="2699" w:type="dxa"/>
            <w:vMerge w:val="restart"/>
            <w:tcBorders>
              <w:left w:val="nil"/>
            </w:tcBorders>
            <w:shd w:val="clear" w:color="auto" w:fill="BFBFBF"/>
          </w:tcPr>
          <w:p w:rsidR="005B2214" w:rsidRPr="00AE35C1" w:rsidRDefault="005B2214" w:rsidP="003F70EE">
            <w:pPr>
              <w:pStyle w:val="Akapitzlist"/>
              <w:suppressAutoHyphens/>
              <w:spacing w:after="0" w:line="360" w:lineRule="auto"/>
              <w:ind w:left="34"/>
              <w:rPr>
                <w:b/>
                <w:color w:val="000000"/>
                <w:sz w:val="18"/>
                <w:szCs w:val="20"/>
              </w:rPr>
            </w:pPr>
            <w:r w:rsidRPr="00AE35C1">
              <w:rPr>
                <w:b/>
                <w:color w:val="000000"/>
                <w:sz w:val="18"/>
                <w:szCs w:val="20"/>
              </w:rPr>
              <w:t>Kształtowanie postaw obywatelskich</w:t>
            </w:r>
          </w:p>
        </w:tc>
        <w:tc>
          <w:tcPr>
            <w:tcW w:w="561" w:type="dxa"/>
            <w:tcBorders>
              <w:right w:val="nil"/>
            </w:tcBorders>
            <w:shd w:val="clear" w:color="auto" w:fill="D9D9D9"/>
          </w:tcPr>
          <w:p w:rsidR="005B2214" w:rsidRPr="00AE35C1" w:rsidRDefault="005B2214"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5B2214" w:rsidRPr="00AE35C1" w:rsidRDefault="005B2214" w:rsidP="00FD0968">
            <w:pPr>
              <w:pStyle w:val="Bezodstpw"/>
              <w:spacing w:line="360" w:lineRule="auto"/>
              <w:jc w:val="both"/>
              <w:rPr>
                <w:color w:val="000000"/>
                <w:sz w:val="16"/>
                <w:szCs w:val="18"/>
              </w:rPr>
            </w:pPr>
            <w:r w:rsidRPr="00AE35C1">
              <w:rPr>
                <w:color w:val="000000"/>
                <w:sz w:val="16"/>
                <w:szCs w:val="18"/>
              </w:rPr>
              <w:t>Wielodziedzinowy regionalny budżet obywatelski.</w:t>
            </w:r>
          </w:p>
        </w:tc>
      </w:tr>
      <w:tr w:rsidR="005B2214" w:rsidRPr="00AE35C1" w:rsidTr="003E72CC">
        <w:tc>
          <w:tcPr>
            <w:tcW w:w="421" w:type="dxa"/>
            <w:vMerge/>
            <w:tcBorders>
              <w:right w:val="nil"/>
            </w:tcBorders>
            <w:shd w:val="clear" w:color="auto" w:fill="A6A6A6"/>
          </w:tcPr>
          <w:p w:rsidR="005B2214" w:rsidRPr="00AE35C1" w:rsidRDefault="005B2214"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5B2214" w:rsidRPr="00AE35C1" w:rsidRDefault="005B2214"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5B2214" w:rsidRPr="00AE35C1" w:rsidRDefault="005B2214" w:rsidP="00FD0968">
            <w:pPr>
              <w:suppressAutoHyphens/>
              <w:spacing w:after="0" w:line="360" w:lineRule="auto"/>
              <w:ind w:left="-108"/>
              <w:jc w:val="both"/>
              <w:rPr>
                <w:b/>
                <w:color w:val="404040"/>
                <w:sz w:val="18"/>
                <w:szCs w:val="20"/>
              </w:rPr>
            </w:pPr>
          </w:p>
        </w:tc>
        <w:tc>
          <w:tcPr>
            <w:tcW w:w="2699" w:type="dxa"/>
            <w:vMerge/>
            <w:tcBorders>
              <w:left w:val="nil"/>
            </w:tcBorders>
            <w:shd w:val="clear" w:color="auto" w:fill="BFBFBF"/>
          </w:tcPr>
          <w:p w:rsidR="005B2214" w:rsidRPr="00AE35C1" w:rsidRDefault="005B2214"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5B2214" w:rsidRPr="00AE35C1" w:rsidRDefault="005B2214" w:rsidP="00FD0968">
            <w:pPr>
              <w:pStyle w:val="Bezodstpw"/>
              <w:numPr>
                <w:ilvl w:val="2"/>
                <w:numId w:val="5"/>
              </w:numPr>
              <w:spacing w:after="120" w:line="360" w:lineRule="auto"/>
              <w:ind w:left="0" w:firstLine="0"/>
              <w:jc w:val="both"/>
              <w:rPr>
                <w:color w:val="000000"/>
                <w:sz w:val="16"/>
                <w:szCs w:val="18"/>
              </w:rPr>
            </w:pPr>
          </w:p>
        </w:tc>
        <w:tc>
          <w:tcPr>
            <w:tcW w:w="9929" w:type="dxa"/>
            <w:tcBorders>
              <w:left w:val="nil"/>
            </w:tcBorders>
            <w:shd w:val="clear" w:color="auto" w:fill="D9D9D9"/>
          </w:tcPr>
          <w:p w:rsidR="005B2214" w:rsidRPr="00AE35C1" w:rsidRDefault="005B2214" w:rsidP="00FD0968">
            <w:pPr>
              <w:pStyle w:val="Bezodstpw"/>
              <w:spacing w:after="120" w:line="360" w:lineRule="auto"/>
              <w:jc w:val="both"/>
              <w:rPr>
                <w:color w:val="000000"/>
                <w:sz w:val="16"/>
                <w:szCs w:val="18"/>
              </w:rPr>
            </w:pPr>
            <w:r w:rsidRPr="00AE35C1">
              <w:rPr>
                <w:color w:val="000000"/>
                <w:sz w:val="16"/>
                <w:szCs w:val="18"/>
              </w:rPr>
              <w:t>Popularyzacja wiedzy o regionie i wzmocnienie tożsamości jego mieszkańców.</w:t>
            </w:r>
          </w:p>
        </w:tc>
      </w:tr>
      <w:tr w:rsidR="005B2214" w:rsidRPr="00AE35C1" w:rsidTr="005B2214">
        <w:trPr>
          <w:trHeight w:val="208"/>
        </w:trPr>
        <w:tc>
          <w:tcPr>
            <w:tcW w:w="421" w:type="dxa"/>
            <w:vMerge/>
            <w:tcBorders>
              <w:right w:val="nil"/>
            </w:tcBorders>
            <w:shd w:val="clear" w:color="auto" w:fill="A6A6A6"/>
          </w:tcPr>
          <w:p w:rsidR="005B2214" w:rsidRPr="00AE35C1" w:rsidRDefault="005B2214"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5B2214" w:rsidRPr="00AE35C1" w:rsidRDefault="005B2214"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5B2214" w:rsidRPr="00AE35C1" w:rsidRDefault="005B2214" w:rsidP="00FD0968">
            <w:pPr>
              <w:suppressAutoHyphens/>
              <w:spacing w:after="0" w:line="360" w:lineRule="auto"/>
              <w:ind w:left="-108"/>
              <w:jc w:val="both"/>
              <w:rPr>
                <w:b/>
                <w:color w:val="404040"/>
                <w:sz w:val="18"/>
                <w:szCs w:val="20"/>
              </w:rPr>
            </w:pPr>
          </w:p>
        </w:tc>
        <w:tc>
          <w:tcPr>
            <w:tcW w:w="2699" w:type="dxa"/>
            <w:vMerge/>
            <w:tcBorders>
              <w:left w:val="nil"/>
            </w:tcBorders>
            <w:shd w:val="clear" w:color="auto" w:fill="BFBFBF"/>
          </w:tcPr>
          <w:p w:rsidR="005B2214" w:rsidRPr="00AE35C1" w:rsidRDefault="005B2214"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5B2214" w:rsidRPr="00AE35C1" w:rsidRDefault="005B2214" w:rsidP="00FD0968">
            <w:pPr>
              <w:pStyle w:val="Bezodstpw"/>
              <w:numPr>
                <w:ilvl w:val="2"/>
                <w:numId w:val="5"/>
              </w:numPr>
              <w:spacing w:after="120" w:line="360" w:lineRule="auto"/>
              <w:ind w:left="0" w:firstLine="0"/>
              <w:jc w:val="both"/>
              <w:rPr>
                <w:color w:val="000000"/>
                <w:sz w:val="16"/>
                <w:szCs w:val="18"/>
              </w:rPr>
            </w:pPr>
          </w:p>
        </w:tc>
        <w:tc>
          <w:tcPr>
            <w:tcW w:w="9929" w:type="dxa"/>
            <w:tcBorders>
              <w:left w:val="nil"/>
            </w:tcBorders>
            <w:shd w:val="clear" w:color="auto" w:fill="D9D9D9"/>
          </w:tcPr>
          <w:p w:rsidR="005B2214" w:rsidRPr="00AE35C1" w:rsidRDefault="005B2214" w:rsidP="00FD0968">
            <w:pPr>
              <w:pStyle w:val="Bezodstpw"/>
              <w:spacing w:after="120" w:line="360" w:lineRule="auto"/>
              <w:jc w:val="both"/>
              <w:rPr>
                <w:color w:val="000000"/>
                <w:sz w:val="16"/>
                <w:szCs w:val="18"/>
              </w:rPr>
            </w:pPr>
            <w:r w:rsidRPr="00AE35C1">
              <w:rPr>
                <w:color w:val="000000"/>
                <w:sz w:val="16"/>
                <w:szCs w:val="18"/>
              </w:rPr>
              <w:t>Podnoszenie kompetencji interkulturowych</w:t>
            </w:r>
            <w:r w:rsidR="00E71DD2">
              <w:rPr>
                <w:color w:val="000000"/>
                <w:sz w:val="16"/>
                <w:szCs w:val="18"/>
              </w:rPr>
              <w:t>.</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7324AE" w:rsidRPr="00AE35C1" w:rsidRDefault="007324AE" w:rsidP="00FD0968">
            <w:pPr>
              <w:pStyle w:val="Akapitzlist"/>
              <w:numPr>
                <w:ilvl w:val="1"/>
                <w:numId w:val="5"/>
              </w:numPr>
              <w:suppressAutoHyphens/>
              <w:spacing w:after="0" w:line="360" w:lineRule="auto"/>
              <w:ind w:left="-108" w:firstLine="0"/>
              <w:jc w:val="both"/>
              <w:rPr>
                <w:b/>
                <w:color w:val="000000"/>
                <w:sz w:val="18"/>
                <w:szCs w:val="20"/>
              </w:rPr>
            </w:pPr>
          </w:p>
        </w:tc>
        <w:tc>
          <w:tcPr>
            <w:tcW w:w="2699" w:type="dxa"/>
            <w:vMerge w:val="restart"/>
            <w:tcBorders>
              <w:left w:val="nil"/>
            </w:tcBorders>
            <w:shd w:val="clear" w:color="auto" w:fill="BFBFBF"/>
          </w:tcPr>
          <w:p w:rsidR="007324AE" w:rsidRPr="00AE35C1" w:rsidRDefault="007324AE" w:rsidP="00FD0968">
            <w:pPr>
              <w:pStyle w:val="Akapitzlist"/>
              <w:suppressAutoHyphens/>
              <w:spacing w:after="0" w:line="360" w:lineRule="auto"/>
              <w:ind w:left="34"/>
              <w:rPr>
                <w:b/>
                <w:color w:val="000000"/>
                <w:sz w:val="18"/>
                <w:szCs w:val="20"/>
              </w:rPr>
            </w:pPr>
            <w:r w:rsidRPr="00AE35C1">
              <w:rPr>
                <w:b/>
                <w:color w:val="000000"/>
                <w:sz w:val="18"/>
                <w:szCs w:val="20"/>
              </w:rPr>
              <w:t>Wzrost społecznej integracji</w:t>
            </w:r>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Rozwój infrastruktury służącej integracji społecznej i zawodowej.</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99"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Wsparcie działań na rzecz osób wykluczonych lub zagrożonych wykluczeniem społecznym.</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99"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rFonts w:cs="Calibri"/>
                <w:color w:val="000000"/>
                <w:sz w:val="16"/>
                <w:szCs w:val="18"/>
              </w:rPr>
              <w:t>Podejmowanie działań na rzecz zwiększenia udziału i roli kobiet na rynku pracy oraz w życiu publicznym.</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99"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Wsparcie działań na rzecz rozwijania sieci mieszkań chronionych i wspomaganych.</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99"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7324AE" w:rsidRPr="00AE35C1" w:rsidRDefault="007324AE" w:rsidP="00FD0968">
            <w:pPr>
              <w:pStyle w:val="Bezodstpw"/>
              <w:numPr>
                <w:ilvl w:val="2"/>
                <w:numId w:val="5"/>
              </w:numPr>
              <w:spacing w:after="120"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after="120" w:line="360" w:lineRule="auto"/>
              <w:jc w:val="both"/>
              <w:rPr>
                <w:color w:val="000000"/>
                <w:sz w:val="16"/>
                <w:szCs w:val="18"/>
              </w:rPr>
            </w:pPr>
            <w:r w:rsidRPr="00AE35C1">
              <w:rPr>
                <w:color w:val="000000"/>
                <w:sz w:val="16"/>
                <w:szCs w:val="18"/>
              </w:rPr>
              <w:t>Wspieranie ekonomii społecznej.</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7324AE" w:rsidRPr="00AE35C1" w:rsidRDefault="007324AE" w:rsidP="00FD0968">
            <w:pPr>
              <w:pStyle w:val="Akapitzlist"/>
              <w:numPr>
                <w:ilvl w:val="1"/>
                <w:numId w:val="5"/>
              </w:numPr>
              <w:suppressAutoHyphens/>
              <w:spacing w:after="0" w:line="360" w:lineRule="auto"/>
              <w:ind w:left="-108" w:firstLine="0"/>
              <w:jc w:val="both"/>
              <w:rPr>
                <w:b/>
                <w:color w:val="000000"/>
                <w:sz w:val="18"/>
                <w:szCs w:val="20"/>
              </w:rPr>
            </w:pPr>
          </w:p>
        </w:tc>
        <w:tc>
          <w:tcPr>
            <w:tcW w:w="2699" w:type="dxa"/>
            <w:vMerge w:val="restart"/>
            <w:tcBorders>
              <w:left w:val="nil"/>
            </w:tcBorders>
            <w:shd w:val="clear" w:color="auto" w:fill="BFBFBF"/>
          </w:tcPr>
          <w:p w:rsidR="007324AE" w:rsidRPr="00AE35C1" w:rsidRDefault="007324AE" w:rsidP="00FD0968">
            <w:pPr>
              <w:pStyle w:val="Akapitzlist"/>
              <w:suppressAutoHyphens/>
              <w:spacing w:after="0" w:line="360" w:lineRule="auto"/>
              <w:ind w:left="34"/>
              <w:rPr>
                <w:b/>
                <w:color w:val="000000"/>
                <w:sz w:val="18"/>
                <w:szCs w:val="20"/>
              </w:rPr>
            </w:pPr>
            <w:r w:rsidRPr="00AE35C1">
              <w:rPr>
                <w:b/>
                <w:color w:val="000000"/>
                <w:sz w:val="18"/>
                <w:szCs w:val="20"/>
              </w:rPr>
              <w:t xml:space="preserve">Doskonalenie regionalnego </w:t>
            </w:r>
            <w:r w:rsidR="00DC2EC5" w:rsidRPr="00AE35C1">
              <w:rPr>
                <w:b/>
                <w:color w:val="000000"/>
                <w:sz w:val="18"/>
                <w:szCs w:val="20"/>
              </w:rPr>
              <w:br/>
            </w:r>
            <w:r w:rsidRPr="00AE35C1">
              <w:rPr>
                <w:b/>
                <w:color w:val="000000"/>
                <w:sz w:val="18"/>
                <w:szCs w:val="20"/>
              </w:rPr>
              <w:t>i lokalnych rynków pracy</w:t>
            </w:r>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Kształtowanie i rozwój usług edukacyjnych i społecznych ukierunkowanych na wzmocnienie rynków pracy.</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99"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7324AE" w:rsidRPr="00AE35C1" w:rsidRDefault="007324AE" w:rsidP="00FD0968">
            <w:pPr>
              <w:pStyle w:val="Bezodstpw"/>
              <w:numPr>
                <w:ilvl w:val="2"/>
                <w:numId w:val="5"/>
              </w:numPr>
              <w:spacing w:after="120" w:line="360" w:lineRule="auto"/>
              <w:ind w:left="0" w:firstLine="0"/>
              <w:jc w:val="both"/>
              <w:rPr>
                <w:rFonts w:cs="Arial Narrow"/>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after="120" w:line="360" w:lineRule="auto"/>
              <w:jc w:val="both"/>
              <w:rPr>
                <w:color w:val="000000"/>
                <w:sz w:val="16"/>
                <w:szCs w:val="18"/>
              </w:rPr>
            </w:pPr>
            <w:r w:rsidRPr="00AE35C1">
              <w:rPr>
                <w:rFonts w:cs="Arial Narrow"/>
                <w:color w:val="000000"/>
                <w:sz w:val="16"/>
                <w:szCs w:val="18"/>
              </w:rPr>
              <w:t>Wspieranie i pobudzanie aktywności zawodowej mieszkańców regionu</w:t>
            </w:r>
            <w:r w:rsidRPr="00AE35C1">
              <w:rPr>
                <w:color w:val="000000"/>
                <w:sz w:val="16"/>
                <w:szCs w:val="18"/>
              </w:rPr>
              <w:t>.</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7324AE" w:rsidRPr="00AE35C1" w:rsidRDefault="007324AE" w:rsidP="00FD0968">
            <w:pPr>
              <w:pStyle w:val="Akapitzlist"/>
              <w:numPr>
                <w:ilvl w:val="1"/>
                <w:numId w:val="5"/>
              </w:numPr>
              <w:suppressAutoHyphens/>
              <w:spacing w:after="0" w:line="360" w:lineRule="auto"/>
              <w:ind w:left="-108" w:firstLine="0"/>
              <w:jc w:val="both"/>
              <w:rPr>
                <w:b/>
                <w:color w:val="000000"/>
                <w:sz w:val="18"/>
                <w:szCs w:val="20"/>
              </w:rPr>
            </w:pPr>
          </w:p>
        </w:tc>
        <w:tc>
          <w:tcPr>
            <w:tcW w:w="2699" w:type="dxa"/>
            <w:vMerge w:val="restart"/>
            <w:tcBorders>
              <w:left w:val="nil"/>
            </w:tcBorders>
            <w:shd w:val="clear" w:color="auto" w:fill="BFBFBF"/>
          </w:tcPr>
          <w:p w:rsidR="007324AE" w:rsidRPr="00AE35C1" w:rsidRDefault="007324AE" w:rsidP="00FD0968">
            <w:pPr>
              <w:pStyle w:val="Akapitzlist"/>
              <w:suppressAutoHyphens/>
              <w:spacing w:after="0" w:line="360" w:lineRule="auto"/>
              <w:ind w:left="34"/>
              <w:rPr>
                <w:b/>
                <w:color w:val="000000"/>
                <w:sz w:val="18"/>
                <w:szCs w:val="20"/>
              </w:rPr>
            </w:pPr>
            <w:r w:rsidRPr="00AE35C1">
              <w:rPr>
                <w:b/>
                <w:color w:val="000000"/>
                <w:sz w:val="18"/>
                <w:szCs w:val="20"/>
              </w:rPr>
              <w:t>Poprawa efektywności kształcenia</w:t>
            </w:r>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Wsparcie innowacyjnych metod kształcenia dzieci i młodzieży.</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99"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Działania na rzecz podniesienia jakości oraz atrakcyjności szkolnictwa zawodowego.</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99"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Rozwój systemu wspierania uczniów z dysfunkcjami i</w:t>
            </w:r>
            <w:r w:rsidR="00EB0786" w:rsidRPr="00AE35C1">
              <w:rPr>
                <w:color w:val="000000"/>
                <w:sz w:val="16"/>
                <w:szCs w:val="18"/>
              </w:rPr>
              <w:t xml:space="preserve"> z </w:t>
            </w:r>
            <w:r w:rsidR="00E71DD2">
              <w:rPr>
                <w:color w:val="000000"/>
                <w:sz w:val="16"/>
                <w:szCs w:val="18"/>
              </w:rPr>
              <w:t>niepełno sprawnościami.</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99"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7324AE" w:rsidRPr="00AE35C1" w:rsidRDefault="007324AE" w:rsidP="00FD0968">
            <w:pPr>
              <w:pStyle w:val="Bezodstpw"/>
              <w:numPr>
                <w:ilvl w:val="2"/>
                <w:numId w:val="5"/>
              </w:numPr>
              <w:spacing w:after="120"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after="120" w:line="360" w:lineRule="auto"/>
              <w:rPr>
                <w:color w:val="000000"/>
                <w:sz w:val="16"/>
                <w:szCs w:val="18"/>
              </w:rPr>
            </w:pPr>
            <w:r w:rsidRPr="00AE35C1">
              <w:rPr>
                <w:color w:val="000000"/>
                <w:sz w:val="16"/>
                <w:szCs w:val="18"/>
              </w:rPr>
              <w:t>Wspieranie działań na rzecz rozwoju umiejętności i postaw kreatywnych i przedsiębiorczych</w:t>
            </w:r>
            <w:r w:rsidR="0045474E">
              <w:rPr>
                <w:color w:val="000000"/>
                <w:sz w:val="16"/>
                <w:szCs w:val="18"/>
              </w:rPr>
              <w:t xml:space="preserve"> ze szczególnym uwzględnieniem uczniów uzdolnionych.</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7324AE" w:rsidRPr="00AE35C1" w:rsidRDefault="007324AE" w:rsidP="00FD0968">
            <w:pPr>
              <w:pStyle w:val="Akapitzlist"/>
              <w:numPr>
                <w:ilvl w:val="1"/>
                <w:numId w:val="5"/>
              </w:numPr>
              <w:suppressAutoHyphens/>
              <w:spacing w:after="0" w:line="360" w:lineRule="auto"/>
              <w:ind w:left="-108" w:firstLine="0"/>
              <w:jc w:val="both"/>
              <w:rPr>
                <w:b/>
                <w:color w:val="000000"/>
                <w:sz w:val="18"/>
                <w:szCs w:val="20"/>
              </w:rPr>
            </w:pPr>
          </w:p>
        </w:tc>
        <w:tc>
          <w:tcPr>
            <w:tcW w:w="2699" w:type="dxa"/>
            <w:vMerge w:val="restart"/>
            <w:tcBorders>
              <w:left w:val="nil"/>
            </w:tcBorders>
            <w:shd w:val="clear" w:color="auto" w:fill="BFBFBF"/>
          </w:tcPr>
          <w:p w:rsidR="007324AE" w:rsidRPr="00AE35C1" w:rsidRDefault="007324AE" w:rsidP="00FD0968">
            <w:pPr>
              <w:pStyle w:val="Akapitzlist"/>
              <w:suppressAutoHyphens/>
              <w:spacing w:after="0" w:line="360" w:lineRule="auto"/>
              <w:ind w:left="34"/>
              <w:rPr>
                <w:b/>
                <w:color w:val="000000"/>
                <w:sz w:val="18"/>
                <w:szCs w:val="20"/>
              </w:rPr>
            </w:pPr>
            <w:r w:rsidRPr="00AE35C1">
              <w:rPr>
                <w:b/>
                <w:color w:val="000000"/>
                <w:sz w:val="18"/>
                <w:szCs w:val="20"/>
              </w:rPr>
              <w:t xml:space="preserve">Regionalna polityka wspierania seniorów oraz osób </w:t>
            </w:r>
            <w:r w:rsidR="00DC2EC5" w:rsidRPr="00AE35C1">
              <w:rPr>
                <w:b/>
                <w:color w:val="000000"/>
                <w:sz w:val="18"/>
                <w:szCs w:val="20"/>
              </w:rPr>
              <w:br/>
            </w:r>
            <w:r w:rsidRPr="00AE35C1">
              <w:rPr>
                <w:b/>
                <w:color w:val="000000"/>
                <w:sz w:val="18"/>
                <w:szCs w:val="20"/>
              </w:rPr>
              <w:t>z niepełnosprawnościami</w:t>
            </w:r>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Wspieranie systemu aktywizacji osób starszych.</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18"/>
                <w:szCs w:val="20"/>
              </w:rPr>
            </w:pPr>
          </w:p>
        </w:tc>
        <w:tc>
          <w:tcPr>
            <w:tcW w:w="2699"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7324AE" w:rsidRPr="00AE35C1" w:rsidRDefault="007324AE" w:rsidP="00FD0968">
            <w:pPr>
              <w:pStyle w:val="Bezodstpw"/>
              <w:numPr>
                <w:ilvl w:val="2"/>
                <w:numId w:val="5"/>
              </w:numPr>
              <w:spacing w:after="120"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after="120" w:line="360" w:lineRule="auto"/>
              <w:jc w:val="both"/>
              <w:rPr>
                <w:color w:val="000000"/>
                <w:sz w:val="16"/>
                <w:szCs w:val="18"/>
              </w:rPr>
            </w:pPr>
            <w:r w:rsidRPr="00AE35C1">
              <w:rPr>
                <w:color w:val="000000"/>
                <w:sz w:val="16"/>
                <w:szCs w:val="18"/>
              </w:rPr>
              <w:t xml:space="preserve">Realizowanie działań z zakresu rehabilitacji społecznej i zawodowej osób </w:t>
            </w:r>
            <w:r w:rsidR="00EB0786" w:rsidRPr="00AE35C1">
              <w:rPr>
                <w:color w:val="000000"/>
                <w:sz w:val="16"/>
                <w:szCs w:val="18"/>
              </w:rPr>
              <w:t>z niepełnosprawnościami</w:t>
            </w:r>
            <w:r w:rsidRPr="00AE35C1">
              <w:rPr>
                <w:color w:val="000000"/>
                <w:sz w:val="16"/>
                <w:szCs w:val="18"/>
              </w:rPr>
              <w:t>.</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7324AE" w:rsidRPr="00AE35C1" w:rsidRDefault="007324AE" w:rsidP="00FD0968">
            <w:pPr>
              <w:pStyle w:val="Akapitzlist"/>
              <w:numPr>
                <w:ilvl w:val="1"/>
                <w:numId w:val="5"/>
              </w:numPr>
              <w:suppressAutoHyphens/>
              <w:spacing w:after="0" w:line="360" w:lineRule="auto"/>
              <w:ind w:left="-108" w:firstLine="0"/>
              <w:jc w:val="both"/>
              <w:rPr>
                <w:b/>
                <w:color w:val="000000"/>
                <w:sz w:val="18"/>
                <w:szCs w:val="20"/>
              </w:rPr>
            </w:pPr>
          </w:p>
        </w:tc>
        <w:tc>
          <w:tcPr>
            <w:tcW w:w="2699" w:type="dxa"/>
            <w:vMerge w:val="restart"/>
            <w:tcBorders>
              <w:left w:val="nil"/>
            </w:tcBorders>
            <w:shd w:val="clear" w:color="auto" w:fill="BFBFBF"/>
          </w:tcPr>
          <w:p w:rsidR="007324AE" w:rsidRPr="00AE35C1" w:rsidRDefault="007324AE" w:rsidP="00FD0968">
            <w:pPr>
              <w:pStyle w:val="Akapitzlist"/>
              <w:suppressAutoHyphens/>
              <w:spacing w:after="0" w:line="360" w:lineRule="auto"/>
              <w:ind w:left="34"/>
              <w:rPr>
                <w:b/>
                <w:color w:val="000000"/>
                <w:sz w:val="18"/>
                <w:szCs w:val="20"/>
              </w:rPr>
            </w:pPr>
            <w:r w:rsidRPr="00AE35C1">
              <w:rPr>
                <w:b/>
                <w:color w:val="000000"/>
                <w:sz w:val="18"/>
                <w:szCs w:val="20"/>
              </w:rPr>
              <w:t xml:space="preserve">Kształtowanie postaw prozdrowotnych </w:t>
            </w:r>
            <w:r w:rsidR="00DC2EC5" w:rsidRPr="00AE35C1">
              <w:rPr>
                <w:b/>
                <w:color w:val="000000"/>
                <w:sz w:val="18"/>
                <w:szCs w:val="20"/>
              </w:rPr>
              <w:br/>
            </w:r>
            <w:r w:rsidRPr="00AE35C1">
              <w:rPr>
                <w:b/>
                <w:color w:val="000000"/>
                <w:sz w:val="18"/>
                <w:szCs w:val="20"/>
              </w:rPr>
              <w:t xml:space="preserve">i </w:t>
            </w:r>
            <w:proofErr w:type="spellStart"/>
            <w:r w:rsidRPr="00AE35C1">
              <w:rPr>
                <w:b/>
                <w:color w:val="000000"/>
                <w:sz w:val="18"/>
                <w:szCs w:val="20"/>
              </w:rPr>
              <w:t>prosportowych</w:t>
            </w:r>
            <w:proofErr w:type="spellEnd"/>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b/>
                <w:color w:val="000000"/>
                <w:sz w:val="16"/>
                <w:szCs w:val="18"/>
              </w:rPr>
            </w:pPr>
            <w:r w:rsidRPr="00AE35C1">
              <w:rPr>
                <w:color w:val="000000"/>
                <w:sz w:val="16"/>
                <w:szCs w:val="18"/>
              </w:rPr>
              <w:t>Wspieranie przedsięwzięć sportowych w regionie oraz promowanie upowszechniania kultury fizycznej.</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20"/>
                <w:szCs w:val="20"/>
              </w:rPr>
            </w:pPr>
          </w:p>
        </w:tc>
        <w:tc>
          <w:tcPr>
            <w:tcW w:w="2699"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20"/>
                <w:szCs w:val="20"/>
              </w:rPr>
            </w:pPr>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b/>
                <w:color w:val="000000"/>
                <w:sz w:val="16"/>
                <w:szCs w:val="18"/>
              </w:rPr>
            </w:pPr>
            <w:r w:rsidRPr="00AE35C1">
              <w:rPr>
                <w:color w:val="000000"/>
                <w:sz w:val="16"/>
                <w:szCs w:val="18"/>
              </w:rPr>
              <w:t>Działania na rzecz rozwoju edukacji kultury fizycznej.</w:t>
            </w:r>
          </w:p>
        </w:tc>
      </w:tr>
      <w:tr w:rsidR="001A3B8F" w:rsidRPr="00AE35C1" w:rsidTr="003F70EE">
        <w:tc>
          <w:tcPr>
            <w:tcW w:w="421" w:type="dxa"/>
            <w:vMerge/>
            <w:tcBorders>
              <w:righ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7324AE" w:rsidRPr="00AE35C1" w:rsidRDefault="007324AE"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7324AE" w:rsidRPr="00AE35C1" w:rsidRDefault="007324AE" w:rsidP="00FD0968">
            <w:pPr>
              <w:suppressAutoHyphens/>
              <w:spacing w:after="0" w:line="360" w:lineRule="auto"/>
              <w:ind w:left="-108"/>
              <w:jc w:val="both"/>
              <w:rPr>
                <w:b/>
                <w:color w:val="404040"/>
                <w:sz w:val="20"/>
                <w:szCs w:val="20"/>
              </w:rPr>
            </w:pPr>
          </w:p>
        </w:tc>
        <w:tc>
          <w:tcPr>
            <w:tcW w:w="2699" w:type="dxa"/>
            <w:vMerge/>
            <w:tcBorders>
              <w:left w:val="nil"/>
            </w:tcBorders>
            <w:shd w:val="clear" w:color="auto" w:fill="BFBFBF"/>
          </w:tcPr>
          <w:p w:rsidR="007324AE" w:rsidRPr="00AE35C1" w:rsidRDefault="007324AE" w:rsidP="00FD0968">
            <w:pPr>
              <w:suppressAutoHyphens/>
              <w:spacing w:after="0" w:line="360" w:lineRule="auto"/>
              <w:ind w:left="34"/>
              <w:rPr>
                <w:b/>
                <w:color w:val="404040"/>
                <w:sz w:val="20"/>
                <w:szCs w:val="20"/>
              </w:rPr>
            </w:pPr>
          </w:p>
        </w:tc>
        <w:tc>
          <w:tcPr>
            <w:tcW w:w="561" w:type="dxa"/>
            <w:tcBorders>
              <w:right w:val="nil"/>
            </w:tcBorders>
            <w:shd w:val="clear" w:color="auto" w:fill="D9D9D9"/>
          </w:tcPr>
          <w:p w:rsidR="007324AE" w:rsidRPr="00AE35C1" w:rsidRDefault="007324AE" w:rsidP="00FD0968">
            <w:pPr>
              <w:pStyle w:val="Bezodstpw"/>
              <w:numPr>
                <w:ilvl w:val="2"/>
                <w:numId w:val="5"/>
              </w:numPr>
              <w:spacing w:line="360" w:lineRule="auto"/>
              <w:ind w:left="0" w:firstLine="0"/>
              <w:jc w:val="both"/>
              <w:rPr>
                <w:color w:val="000000"/>
                <w:sz w:val="16"/>
                <w:szCs w:val="18"/>
              </w:rPr>
            </w:pPr>
          </w:p>
        </w:tc>
        <w:tc>
          <w:tcPr>
            <w:tcW w:w="9929" w:type="dxa"/>
            <w:tcBorders>
              <w:left w:val="nil"/>
            </w:tcBorders>
            <w:shd w:val="clear" w:color="auto" w:fill="D9D9D9"/>
          </w:tcPr>
          <w:p w:rsidR="007324AE" w:rsidRPr="00AE35C1" w:rsidRDefault="007324AE" w:rsidP="00FD0968">
            <w:pPr>
              <w:pStyle w:val="Bezodstpw"/>
              <w:spacing w:line="360" w:lineRule="auto"/>
              <w:jc w:val="both"/>
              <w:rPr>
                <w:color w:val="000000"/>
                <w:sz w:val="16"/>
                <w:szCs w:val="18"/>
              </w:rPr>
            </w:pPr>
            <w:r w:rsidRPr="00AE35C1">
              <w:rPr>
                <w:color w:val="000000"/>
                <w:sz w:val="16"/>
                <w:szCs w:val="18"/>
              </w:rPr>
              <w:t>Wspieranie działań na rzecz kształtowania postaw prozdrowotnych.</w:t>
            </w:r>
          </w:p>
        </w:tc>
      </w:tr>
    </w:tbl>
    <w:p w:rsidR="003F70EE" w:rsidRPr="00AE35C1" w:rsidRDefault="003F70EE"/>
    <w:p w:rsidR="003F70EE" w:rsidRPr="00AE35C1" w:rsidRDefault="003F70EE"/>
    <w:p w:rsidR="003F70EE" w:rsidRPr="00AE35C1" w:rsidRDefault="003F70EE"/>
    <w:tbl>
      <w:tblPr>
        <w:tblW w:w="15168" w:type="dxa"/>
        <w:tblInd w:w="-449"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shd w:val="clear" w:color="auto" w:fill="D9D9D9"/>
        <w:tblLook w:val="04A0"/>
      </w:tblPr>
      <w:tblGrid>
        <w:gridCol w:w="421"/>
        <w:gridCol w:w="1134"/>
        <w:gridCol w:w="283"/>
        <w:gridCol w:w="2675"/>
        <w:gridCol w:w="24"/>
        <w:gridCol w:w="561"/>
        <w:gridCol w:w="9929"/>
        <w:gridCol w:w="141"/>
      </w:tblGrid>
      <w:tr w:rsidR="001A3B8F" w:rsidRPr="00AE35C1" w:rsidTr="000F375E">
        <w:trPr>
          <w:gridAfter w:val="1"/>
          <w:wAfter w:w="141" w:type="dxa"/>
        </w:trPr>
        <w:tc>
          <w:tcPr>
            <w:tcW w:w="1555" w:type="dxa"/>
            <w:gridSpan w:val="2"/>
            <w:tcBorders>
              <w:bottom w:val="single" w:sz="18" w:space="0" w:color="FFFFFF"/>
            </w:tcBorders>
            <w:shd w:val="clear" w:color="auto" w:fill="A6A6A6"/>
            <w:vAlign w:val="center"/>
          </w:tcPr>
          <w:p w:rsidR="007324AE" w:rsidRPr="00AE35C1" w:rsidRDefault="007324AE" w:rsidP="00FD0968">
            <w:pPr>
              <w:pStyle w:val="Akapitzlist"/>
              <w:suppressAutoHyphens/>
              <w:spacing w:after="0" w:line="360" w:lineRule="auto"/>
              <w:ind w:left="0"/>
              <w:jc w:val="center"/>
              <w:rPr>
                <w:b/>
                <w:color w:val="FFFFFF"/>
                <w:sz w:val="20"/>
                <w:szCs w:val="21"/>
              </w:rPr>
            </w:pPr>
            <w:r w:rsidRPr="00AE35C1">
              <w:rPr>
                <w:b/>
                <w:bCs/>
                <w:color w:val="FFFFFF"/>
                <w:sz w:val="20"/>
                <w:szCs w:val="21"/>
              </w:rPr>
              <w:t xml:space="preserve">CEL </w:t>
            </w:r>
            <w:r w:rsidRPr="00AE35C1">
              <w:rPr>
                <w:b/>
                <w:bCs/>
                <w:color w:val="FFFFFF"/>
                <w:sz w:val="20"/>
                <w:szCs w:val="21"/>
              </w:rPr>
              <w:lastRenderedPageBreak/>
              <w:t>STRATEGICZNY</w:t>
            </w:r>
          </w:p>
        </w:tc>
        <w:tc>
          <w:tcPr>
            <w:tcW w:w="2982" w:type="dxa"/>
            <w:gridSpan w:val="3"/>
            <w:tcBorders>
              <w:bottom w:val="single" w:sz="18" w:space="0" w:color="FFFFFF"/>
            </w:tcBorders>
            <w:shd w:val="clear" w:color="auto" w:fill="BFBFBF"/>
            <w:vAlign w:val="center"/>
          </w:tcPr>
          <w:p w:rsidR="007324AE" w:rsidRPr="00AE35C1" w:rsidRDefault="007324AE" w:rsidP="00FD0968">
            <w:pPr>
              <w:suppressAutoHyphens/>
              <w:spacing w:after="0" w:line="360" w:lineRule="auto"/>
              <w:jc w:val="center"/>
              <w:rPr>
                <w:b/>
                <w:color w:val="FFFFFF"/>
                <w:sz w:val="20"/>
                <w:szCs w:val="21"/>
              </w:rPr>
            </w:pPr>
            <w:r w:rsidRPr="00AE35C1">
              <w:rPr>
                <w:b/>
                <w:color w:val="FFFFFF"/>
                <w:sz w:val="20"/>
                <w:szCs w:val="21"/>
              </w:rPr>
              <w:lastRenderedPageBreak/>
              <w:t>CEL OPERACYJNY</w:t>
            </w:r>
          </w:p>
        </w:tc>
        <w:tc>
          <w:tcPr>
            <w:tcW w:w="10490" w:type="dxa"/>
            <w:gridSpan w:val="2"/>
            <w:tcBorders>
              <w:bottom w:val="single" w:sz="18" w:space="0" w:color="FFFFFF"/>
            </w:tcBorders>
            <w:shd w:val="clear" w:color="auto" w:fill="D9D9D9"/>
            <w:vAlign w:val="center"/>
          </w:tcPr>
          <w:p w:rsidR="007324AE" w:rsidRPr="00AE35C1" w:rsidRDefault="007324AE" w:rsidP="00FD0968">
            <w:pPr>
              <w:spacing w:after="0" w:line="360" w:lineRule="auto"/>
              <w:rPr>
                <w:b/>
                <w:color w:val="FFFFFF"/>
                <w:sz w:val="20"/>
                <w:szCs w:val="21"/>
              </w:rPr>
            </w:pPr>
            <w:r w:rsidRPr="00AE35C1">
              <w:rPr>
                <w:b/>
                <w:color w:val="FFFFFF"/>
                <w:sz w:val="20"/>
                <w:szCs w:val="21"/>
              </w:rPr>
              <w:t>KIERUNKI DZIAŁAŃ STRATEGICZNYCH:</w:t>
            </w:r>
          </w:p>
        </w:tc>
      </w:tr>
      <w:tr w:rsidR="001A3B8F" w:rsidRPr="00AE35C1" w:rsidTr="000F375E">
        <w:trPr>
          <w:gridAfter w:val="1"/>
          <w:wAfter w:w="141" w:type="dxa"/>
        </w:trPr>
        <w:tc>
          <w:tcPr>
            <w:tcW w:w="421" w:type="dxa"/>
            <w:vMerge w:val="restart"/>
            <w:tcBorders>
              <w:right w:val="nil"/>
            </w:tcBorders>
            <w:shd w:val="clear" w:color="auto" w:fill="A6A6A6"/>
          </w:tcPr>
          <w:p w:rsidR="00D860D6" w:rsidRPr="00AE35C1" w:rsidRDefault="00D860D6" w:rsidP="00FD0968">
            <w:pPr>
              <w:pStyle w:val="Akapitzlist"/>
              <w:numPr>
                <w:ilvl w:val="0"/>
                <w:numId w:val="5"/>
              </w:numPr>
              <w:suppressAutoHyphens/>
              <w:spacing w:before="300" w:after="0" w:line="360" w:lineRule="auto"/>
              <w:ind w:left="-23" w:firstLine="0"/>
              <w:jc w:val="both"/>
              <w:rPr>
                <w:rFonts w:cs="Calibri"/>
                <w:b/>
                <w:bCs/>
                <w:sz w:val="21"/>
                <w:szCs w:val="21"/>
              </w:rPr>
            </w:pPr>
          </w:p>
        </w:tc>
        <w:tc>
          <w:tcPr>
            <w:tcW w:w="1134" w:type="dxa"/>
            <w:vMerge w:val="restart"/>
            <w:tcBorders>
              <w:left w:val="nil"/>
            </w:tcBorders>
            <w:shd w:val="clear" w:color="auto" w:fill="A6A6A6"/>
            <w:textDirection w:val="btLr"/>
          </w:tcPr>
          <w:p w:rsidR="00D860D6" w:rsidRPr="00AE35C1" w:rsidRDefault="00D860D6" w:rsidP="00FD0968">
            <w:pPr>
              <w:pStyle w:val="Akapitzlist"/>
              <w:suppressAutoHyphens/>
              <w:spacing w:before="300" w:after="0" w:line="360" w:lineRule="auto"/>
              <w:ind w:left="-23" w:right="113"/>
              <w:jc w:val="center"/>
              <w:rPr>
                <w:rFonts w:cs="Calibri"/>
                <w:b/>
                <w:bCs/>
                <w:sz w:val="21"/>
                <w:szCs w:val="21"/>
              </w:rPr>
            </w:pPr>
            <w:r w:rsidRPr="00AE35C1">
              <w:rPr>
                <w:rFonts w:cs="Calibri"/>
                <w:b/>
                <w:bCs/>
                <w:sz w:val="21"/>
                <w:szCs w:val="21"/>
              </w:rPr>
              <w:t>ODPOWIEDZIALNE WYKORZYSTANIE ZASOBÓW I OCHRONA WALORÓW ŚRODOWISKA NATURALNEGO I DZIEDZICTWA KULTUROWEGO</w:t>
            </w:r>
          </w:p>
        </w:tc>
        <w:tc>
          <w:tcPr>
            <w:tcW w:w="283" w:type="dxa"/>
            <w:vMerge w:val="restart"/>
            <w:tcBorders>
              <w:right w:val="nil"/>
            </w:tcBorders>
            <w:shd w:val="clear" w:color="auto" w:fill="BFBFBF"/>
          </w:tcPr>
          <w:p w:rsidR="00D860D6" w:rsidRPr="00AE35C1" w:rsidRDefault="00D860D6" w:rsidP="00C21207">
            <w:pPr>
              <w:pStyle w:val="Akapitzlist"/>
              <w:numPr>
                <w:ilvl w:val="1"/>
                <w:numId w:val="5"/>
              </w:numPr>
              <w:suppressAutoHyphens/>
              <w:spacing w:after="0" w:line="360" w:lineRule="auto"/>
              <w:ind w:left="-108" w:firstLine="5"/>
              <w:jc w:val="both"/>
              <w:rPr>
                <w:rFonts w:cs="Calibri"/>
                <w:b/>
                <w:color w:val="000000"/>
                <w:sz w:val="18"/>
                <w:szCs w:val="20"/>
              </w:rPr>
            </w:pPr>
          </w:p>
        </w:tc>
        <w:tc>
          <w:tcPr>
            <w:tcW w:w="2699" w:type="dxa"/>
            <w:gridSpan w:val="2"/>
            <w:vMerge w:val="restart"/>
            <w:tcBorders>
              <w:left w:val="nil"/>
            </w:tcBorders>
            <w:shd w:val="clear" w:color="auto" w:fill="BFBFBF"/>
          </w:tcPr>
          <w:p w:rsidR="00D860D6" w:rsidRPr="00AE35C1" w:rsidRDefault="00D860D6" w:rsidP="00FD0968">
            <w:pPr>
              <w:pStyle w:val="Akapitzlist"/>
              <w:suppressAutoHyphens/>
              <w:spacing w:after="0" w:line="360" w:lineRule="auto"/>
              <w:ind w:left="34"/>
              <w:rPr>
                <w:rFonts w:cs="Calibri"/>
                <w:b/>
                <w:color w:val="000000"/>
                <w:sz w:val="18"/>
                <w:szCs w:val="20"/>
              </w:rPr>
            </w:pPr>
            <w:r w:rsidRPr="00AE35C1">
              <w:rPr>
                <w:rFonts w:cs="Calibri"/>
                <w:b/>
                <w:color w:val="000000"/>
                <w:sz w:val="18"/>
                <w:szCs w:val="20"/>
              </w:rPr>
              <w:t>Poprawa stanu wszystkich komponentów środowiska</w:t>
            </w:r>
          </w:p>
        </w:tc>
        <w:tc>
          <w:tcPr>
            <w:tcW w:w="561" w:type="dxa"/>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Działania w zakresie zwalczania źródeł niskiej emisji, szczególnie w uzdrowiskach.</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Wspieranie edukacji ekologicznej w oparciu o zasoby lokalne (infrastrukturalne, przyrodnicze i kulturowe).</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D860D6" w:rsidRPr="00AE35C1" w:rsidRDefault="00D860D6" w:rsidP="00FD0968">
            <w:pPr>
              <w:pStyle w:val="Bezodstpw"/>
              <w:numPr>
                <w:ilvl w:val="2"/>
                <w:numId w:val="5"/>
              </w:numPr>
              <w:spacing w:after="120"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Bezodstpw"/>
              <w:spacing w:after="120" w:line="360" w:lineRule="auto"/>
              <w:jc w:val="both"/>
              <w:rPr>
                <w:rFonts w:cs="Calibri"/>
                <w:color w:val="000000"/>
                <w:sz w:val="16"/>
                <w:szCs w:val="18"/>
              </w:rPr>
            </w:pPr>
            <w:r w:rsidRPr="00AE35C1">
              <w:rPr>
                <w:rFonts w:cs="Calibri"/>
                <w:color w:val="000000"/>
                <w:sz w:val="16"/>
                <w:szCs w:val="18"/>
              </w:rPr>
              <w:t xml:space="preserve">Rekultywacja i zagospodarowanie terenów poprzemysłowych i </w:t>
            </w:r>
            <w:proofErr w:type="spellStart"/>
            <w:r w:rsidRPr="00AE35C1">
              <w:rPr>
                <w:rFonts w:cs="Calibri"/>
                <w:color w:val="000000"/>
                <w:sz w:val="16"/>
                <w:szCs w:val="18"/>
              </w:rPr>
              <w:t>powydobywczych</w:t>
            </w:r>
            <w:proofErr w:type="spellEnd"/>
            <w:r w:rsidRPr="00AE35C1">
              <w:rPr>
                <w:rFonts w:cs="Calibri"/>
                <w:color w:val="000000"/>
                <w:sz w:val="16"/>
                <w:szCs w:val="18"/>
              </w:rPr>
              <w:t>.</w:t>
            </w:r>
          </w:p>
        </w:tc>
      </w:tr>
      <w:tr w:rsidR="008E2D7D" w:rsidRPr="00AE35C1" w:rsidTr="000F375E">
        <w:trPr>
          <w:gridAfter w:val="1"/>
          <w:wAfter w:w="141" w:type="dxa"/>
        </w:trPr>
        <w:tc>
          <w:tcPr>
            <w:tcW w:w="421" w:type="dxa"/>
            <w:vMerge/>
            <w:tcBorders>
              <w:righ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8E2D7D" w:rsidRPr="00AE35C1" w:rsidRDefault="008E2D7D" w:rsidP="00FD0968">
            <w:pPr>
              <w:pStyle w:val="Akapitzlist"/>
              <w:numPr>
                <w:ilvl w:val="1"/>
                <w:numId w:val="5"/>
              </w:numPr>
              <w:suppressAutoHyphens/>
              <w:spacing w:after="0" w:line="360" w:lineRule="auto"/>
              <w:ind w:left="-108" w:firstLine="0"/>
              <w:jc w:val="both"/>
              <w:rPr>
                <w:rFonts w:cs="Calibri"/>
                <w:b/>
                <w:color w:val="000000"/>
                <w:sz w:val="18"/>
                <w:szCs w:val="20"/>
              </w:rPr>
            </w:pPr>
          </w:p>
        </w:tc>
        <w:tc>
          <w:tcPr>
            <w:tcW w:w="2699" w:type="dxa"/>
            <w:gridSpan w:val="2"/>
            <w:vMerge w:val="restart"/>
            <w:tcBorders>
              <w:left w:val="nil"/>
            </w:tcBorders>
            <w:shd w:val="clear" w:color="auto" w:fill="BFBFBF"/>
          </w:tcPr>
          <w:p w:rsidR="008E2D7D" w:rsidRPr="00AE35C1" w:rsidRDefault="008E2D7D" w:rsidP="00FD0968">
            <w:pPr>
              <w:pStyle w:val="Akapitzlist"/>
              <w:suppressAutoHyphens/>
              <w:spacing w:after="0" w:line="360" w:lineRule="auto"/>
              <w:ind w:left="34"/>
              <w:rPr>
                <w:rFonts w:cs="Calibri"/>
                <w:b/>
                <w:color w:val="000000"/>
                <w:sz w:val="18"/>
                <w:szCs w:val="20"/>
              </w:rPr>
            </w:pPr>
            <w:r w:rsidRPr="00AE35C1">
              <w:rPr>
                <w:rFonts w:cs="Calibri"/>
                <w:b/>
                <w:color w:val="000000"/>
                <w:sz w:val="18"/>
                <w:szCs w:val="20"/>
              </w:rPr>
              <w:t>Racjonalne wykorzystanie walorów i zasobów środowiska</w:t>
            </w:r>
          </w:p>
        </w:tc>
        <w:tc>
          <w:tcPr>
            <w:tcW w:w="561" w:type="dxa"/>
            <w:tcBorders>
              <w:right w:val="nil"/>
            </w:tcBorders>
            <w:shd w:val="clear" w:color="auto" w:fill="D9D9D9"/>
          </w:tcPr>
          <w:p w:rsidR="008E2D7D" w:rsidRPr="00AE35C1" w:rsidRDefault="008E2D7D"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8E2D7D" w:rsidRPr="00AE35C1" w:rsidRDefault="008E2D7D" w:rsidP="00FD0968">
            <w:pPr>
              <w:pStyle w:val="Bezodstpw"/>
              <w:spacing w:line="360" w:lineRule="auto"/>
              <w:jc w:val="both"/>
              <w:rPr>
                <w:rFonts w:cs="Calibri"/>
                <w:color w:val="000000"/>
                <w:sz w:val="16"/>
                <w:szCs w:val="18"/>
              </w:rPr>
            </w:pPr>
            <w:r w:rsidRPr="00AE35C1">
              <w:rPr>
                <w:rFonts w:cs="Calibri"/>
                <w:color w:val="000000"/>
                <w:sz w:val="16"/>
                <w:szCs w:val="18"/>
              </w:rPr>
              <w:t>Zachowanie i racjonalne wykorzystanie zasobów glebowych i leśnych.</w:t>
            </w:r>
          </w:p>
        </w:tc>
      </w:tr>
      <w:tr w:rsidR="008E2D7D" w:rsidRPr="00AE35C1" w:rsidTr="000F375E">
        <w:trPr>
          <w:gridAfter w:val="1"/>
          <w:wAfter w:w="141" w:type="dxa"/>
          <w:trHeight w:val="390"/>
        </w:trPr>
        <w:tc>
          <w:tcPr>
            <w:tcW w:w="421" w:type="dxa"/>
            <w:vMerge/>
            <w:tcBorders>
              <w:righ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8E2D7D" w:rsidRPr="00AE35C1" w:rsidRDefault="008E2D7D"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8E2D7D" w:rsidRPr="00AE35C1" w:rsidRDefault="008E2D7D"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8E2D7D" w:rsidRPr="00AE35C1" w:rsidRDefault="008E2D7D"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8E2D7D" w:rsidRPr="00AE35C1" w:rsidRDefault="008E2D7D" w:rsidP="00FD0968">
            <w:pPr>
              <w:pStyle w:val="Bezodstpw"/>
              <w:spacing w:line="360" w:lineRule="auto"/>
              <w:jc w:val="both"/>
              <w:rPr>
                <w:rFonts w:cs="Calibri"/>
                <w:color w:val="000000"/>
                <w:sz w:val="16"/>
                <w:szCs w:val="18"/>
              </w:rPr>
            </w:pPr>
            <w:r w:rsidRPr="00AE35C1">
              <w:rPr>
                <w:rFonts w:cs="Calibri"/>
                <w:color w:val="000000"/>
                <w:sz w:val="16"/>
                <w:szCs w:val="18"/>
              </w:rPr>
              <w:t>Wspieranie racjonalnej gospodarki zasobami wód termalnych i leczniczych w regionie.</w:t>
            </w:r>
          </w:p>
        </w:tc>
      </w:tr>
      <w:tr w:rsidR="008E2D7D" w:rsidRPr="00AE35C1" w:rsidTr="000F375E">
        <w:trPr>
          <w:gridAfter w:val="1"/>
          <w:wAfter w:w="141" w:type="dxa"/>
          <w:trHeight w:val="390"/>
        </w:trPr>
        <w:tc>
          <w:tcPr>
            <w:tcW w:w="421" w:type="dxa"/>
            <w:vMerge/>
            <w:tcBorders>
              <w:righ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8E2D7D" w:rsidRPr="00AE35C1" w:rsidRDefault="008E2D7D"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8E2D7D" w:rsidRPr="00AE35C1" w:rsidRDefault="008E2D7D"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8E2D7D" w:rsidRPr="00AE35C1" w:rsidRDefault="008E2D7D"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8E2D7D" w:rsidRPr="00AE35C1" w:rsidRDefault="008E2D7D" w:rsidP="00FD0968">
            <w:pPr>
              <w:pStyle w:val="Bezodstpw"/>
              <w:spacing w:line="360" w:lineRule="auto"/>
              <w:jc w:val="both"/>
              <w:rPr>
                <w:rFonts w:cs="Calibri"/>
                <w:color w:val="000000"/>
                <w:sz w:val="16"/>
                <w:szCs w:val="18"/>
              </w:rPr>
            </w:pPr>
            <w:r w:rsidRPr="00AE35C1">
              <w:rPr>
                <w:rFonts w:cs="Calibri"/>
                <w:color w:val="000000"/>
                <w:sz w:val="16"/>
                <w:szCs w:val="18"/>
              </w:rPr>
              <w:t>Prowadzenie działań na rzecz efektywnej ochrony wartości krajobrazu.</w:t>
            </w:r>
          </w:p>
        </w:tc>
      </w:tr>
      <w:tr w:rsidR="008E2D7D" w:rsidRPr="00AE35C1" w:rsidTr="000F375E">
        <w:trPr>
          <w:gridAfter w:val="1"/>
          <w:wAfter w:w="141" w:type="dxa"/>
        </w:trPr>
        <w:tc>
          <w:tcPr>
            <w:tcW w:w="421" w:type="dxa"/>
            <w:vMerge/>
            <w:tcBorders>
              <w:righ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8E2D7D" w:rsidRPr="00AE35C1" w:rsidRDefault="008E2D7D"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8E2D7D" w:rsidRPr="00AE35C1" w:rsidRDefault="008E2D7D"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8E2D7D" w:rsidRPr="00AE35C1" w:rsidRDefault="008E2D7D" w:rsidP="00FD0968">
            <w:pPr>
              <w:pStyle w:val="Bezodstpw"/>
              <w:numPr>
                <w:ilvl w:val="2"/>
                <w:numId w:val="5"/>
              </w:numPr>
              <w:spacing w:after="120" w:line="360" w:lineRule="auto"/>
              <w:ind w:left="0" w:firstLine="0"/>
              <w:jc w:val="both"/>
              <w:rPr>
                <w:rFonts w:cs="Calibri"/>
                <w:color w:val="000000"/>
                <w:sz w:val="16"/>
                <w:szCs w:val="18"/>
              </w:rPr>
            </w:pPr>
          </w:p>
        </w:tc>
        <w:tc>
          <w:tcPr>
            <w:tcW w:w="9929" w:type="dxa"/>
            <w:tcBorders>
              <w:left w:val="nil"/>
            </w:tcBorders>
            <w:shd w:val="clear" w:color="auto" w:fill="D9D9D9"/>
          </w:tcPr>
          <w:p w:rsidR="008E2D7D" w:rsidRPr="00AE35C1" w:rsidRDefault="008E2D7D" w:rsidP="00FD0968">
            <w:pPr>
              <w:pStyle w:val="Bezodstpw"/>
              <w:spacing w:after="120" w:line="360" w:lineRule="auto"/>
              <w:jc w:val="both"/>
              <w:rPr>
                <w:rFonts w:cs="Calibri"/>
                <w:color w:val="000000"/>
                <w:sz w:val="16"/>
                <w:szCs w:val="18"/>
              </w:rPr>
            </w:pPr>
            <w:r w:rsidRPr="00AE35C1">
              <w:rPr>
                <w:rFonts w:cs="Calibri"/>
                <w:color w:val="000000"/>
                <w:sz w:val="16"/>
                <w:szCs w:val="18"/>
              </w:rPr>
              <w:t>Wzmocnienie potencjału uzdrowiskowego i turystycznego.</w:t>
            </w:r>
          </w:p>
        </w:tc>
      </w:tr>
      <w:tr w:rsidR="008E2D7D" w:rsidRPr="00AE35C1" w:rsidTr="000F375E">
        <w:trPr>
          <w:gridAfter w:val="1"/>
          <w:wAfter w:w="141" w:type="dxa"/>
        </w:trPr>
        <w:tc>
          <w:tcPr>
            <w:tcW w:w="421" w:type="dxa"/>
            <w:vMerge/>
            <w:tcBorders>
              <w:righ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8E2D7D" w:rsidRPr="00AE35C1" w:rsidRDefault="008E2D7D"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8E2D7D" w:rsidRPr="00AE35C1" w:rsidRDefault="008E2D7D"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8E2D7D" w:rsidRPr="00AE35C1" w:rsidRDefault="008E2D7D" w:rsidP="00FD0968">
            <w:pPr>
              <w:pStyle w:val="Bezodstpw"/>
              <w:numPr>
                <w:ilvl w:val="2"/>
                <w:numId w:val="5"/>
              </w:numPr>
              <w:spacing w:after="120" w:line="360" w:lineRule="auto"/>
              <w:ind w:left="0" w:firstLine="0"/>
              <w:jc w:val="both"/>
              <w:rPr>
                <w:rFonts w:cs="Calibri"/>
                <w:color w:val="000000"/>
                <w:sz w:val="16"/>
                <w:szCs w:val="18"/>
              </w:rPr>
            </w:pPr>
          </w:p>
        </w:tc>
        <w:tc>
          <w:tcPr>
            <w:tcW w:w="9929" w:type="dxa"/>
            <w:tcBorders>
              <w:left w:val="nil"/>
            </w:tcBorders>
            <w:shd w:val="clear" w:color="auto" w:fill="D9D9D9"/>
          </w:tcPr>
          <w:p w:rsidR="008E2D7D" w:rsidRPr="00AE35C1" w:rsidRDefault="008E2D7D" w:rsidP="00FD0968">
            <w:pPr>
              <w:pStyle w:val="Bezodstpw"/>
              <w:spacing w:after="120" w:line="360" w:lineRule="auto"/>
              <w:jc w:val="both"/>
              <w:rPr>
                <w:rFonts w:cs="Calibri"/>
                <w:color w:val="000000"/>
                <w:sz w:val="16"/>
                <w:szCs w:val="18"/>
              </w:rPr>
            </w:pPr>
            <w:r>
              <w:rPr>
                <w:rFonts w:cs="Calibri"/>
                <w:color w:val="000000"/>
                <w:sz w:val="16"/>
                <w:szCs w:val="18"/>
              </w:rPr>
              <w:t>Wspieranie działań na rzecz racjonalnej gospodarki zasobami wód powierzchniowych i podziemnych, w tym zapewnienia odpowiedniej jakości wód.</w:t>
            </w:r>
          </w:p>
        </w:tc>
      </w:tr>
      <w:tr w:rsidR="008E2D7D" w:rsidRPr="00AE35C1" w:rsidTr="000F375E">
        <w:trPr>
          <w:gridAfter w:val="1"/>
          <w:wAfter w:w="141" w:type="dxa"/>
        </w:trPr>
        <w:tc>
          <w:tcPr>
            <w:tcW w:w="421" w:type="dxa"/>
            <w:vMerge/>
            <w:tcBorders>
              <w:righ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8E2D7D" w:rsidRPr="00AE35C1" w:rsidRDefault="008E2D7D"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8E2D7D" w:rsidRPr="00AE35C1" w:rsidRDefault="008E2D7D"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8E2D7D" w:rsidRPr="00AE35C1" w:rsidRDefault="008E2D7D"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8E2D7D" w:rsidRPr="00AE35C1" w:rsidRDefault="008E2D7D" w:rsidP="00FD0968">
            <w:pPr>
              <w:pStyle w:val="Bezodstpw"/>
              <w:numPr>
                <w:ilvl w:val="2"/>
                <w:numId w:val="5"/>
              </w:numPr>
              <w:spacing w:after="120" w:line="360" w:lineRule="auto"/>
              <w:ind w:left="0" w:firstLine="0"/>
              <w:jc w:val="both"/>
              <w:rPr>
                <w:rFonts w:cs="Calibri"/>
                <w:color w:val="000000"/>
                <w:sz w:val="16"/>
                <w:szCs w:val="18"/>
              </w:rPr>
            </w:pPr>
          </w:p>
        </w:tc>
        <w:tc>
          <w:tcPr>
            <w:tcW w:w="9929" w:type="dxa"/>
            <w:tcBorders>
              <w:left w:val="nil"/>
            </w:tcBorders>
            <w:shd w:val="clear" w:color="auto" w:fill="D9D9D9"/>
          </w:tcPr>
          <w:p w:rsidR="008E2D7D" w:rsidRPr="00AE35C1" w:rsidRDefault="008E2D7D" w:rsidP="008E2D7D">
            <w:pPr>
              <w:pStyle w:val="Bezodstpw"/>
              <w:spacing w:after="120" w:line="360" w:lineRule="auto"/>
              <w:jc w:val="both"/>
              <w:rPr>
                <w:rFonts w:cs="Calibri"/>
                <w:color w:val="000000"/>
                <w:sz w:val="16"/>
                <w:szCs w:val="18"/>
              </w:rPr>
            </w:pPr>
            <w:r>
              <w:rPr>
                <w:rFonts w:cs="Calibri"/>
                <w:color w:val="000000"/>
                <w:sz w:val="16"/>
                <w:szCs w:val="18"/>
              </w:rPr>
              <w:t>Prowadzenie działań na rzecz racjonalnego wykorzystania i ochrony złóż kopalin.</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D860D6" w:rsidRPr="00AE35C1" w:rsidRDefault="00D860D6" w:rsidP="00FD0968">
            <w:pPr>
              <w:pStyle w:val="Akapitzlist"/>
              <w:numPr>
                <w:ilvl w:val="1"/>
                <w:numId w:val="5"/>
              </w:numPr>
              <w:suppressAutoHyphens/>
              <w:spacing w:after="0" w:line="360" w:lineRule="auto"/>
              <w:ind w:left="-108" w:firstLine="0"/>
              <w:jc w:val="both"/>
              <w:rPr>
                <w:rFonts w:cs="Calibri"/>
                <w:b/>
                <w:color w:val="000000"/>
                <w:sz w:val="18"/>
                <w:szCs w:val="20"/>
              </w:rPr>
            </w:pPr>
          </w:p>
        </w:tc>
        <w:tc>
          <w:tcPr>
            <w:tcW w:w="2699" w:type="dxa"/>
            <w:gridSpan w:val="2"/>
            <w:vMerge w:val="restart"/>
            <w:tcBorders>
              <w:left w:val="nil"/>
            </w:tcBorders>
            <w:shd w:val="clear" w:color="auto" w:fill="BFBFBF"/>
          </w:tcPr>
          <w:p w:rsidR="00D860D6" w:rsidRPr="00AE35C1" w:rsidRDefault="00D860D6" w:rsidP="00FD0968">
            <w:pPr>
              <w:pStyle w:val="Akapitzlist"/>
              <w:suppressAutoHyphens/>
              <w:spacing w:after="0" w:line="360" w:lineRule="auto"/>
              <w:ind w:left="34"/>
              <w:rPr>
                <w:rFonts w:cs="Calibri"/>
                <w:b/>
                <w:color w:val="000000"/>
                <w:sz w:val="18"/>
                <w:szCs w:val="20"/>
              </w:rPr>
            </w:pPr>
            <w:r w:rsidRPr="00AE35C1">
              <w:rPr>
                <w:rFonts w:cs="Calibri"/>
                <w:b/>
                <w:color w:val="000000"/>
                <w:sz w:val="18"/>
                <w:szCs w:val="20"/>
              </w:rPr>
              <w:t>Ochrona przed klęskami żywiołowymi</w:t>
            </w:r>
          </w:p>
        </w:tc>
        <w:tc>
          <w:tcPr>
            <w:tcW w:w="561" w:type="dxa"/>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34276" w:rsidP="00FD0968">
            <w:pPr>
              <w:pStyle w:val="Bezodstpw"/>
              <w:spacing w:line="360" w:lineRule="auto"/>
              <w:jc w:val="both"/>
              <w:rPr>
                <w:rFonts w:cs="Calibri"/>
                <w:color w:val="000000"/>
                <w:sz w:val="16"/>
                <w:szCs w:val="18"/>
              </w:rPr>
            </w:pPr>
            <w:r w:rsidRPr="00AE35C1">
              <w:rPr>
                <w:rFonts w:cs="Calibri"/>
                <w:color w:val="000000"/>
                <w:sz w:val="16"/>
                <w:szCs w:val="18"/>
              </w:rPr>
              <w:t>Wspieranie rozwoju systemu małej retencji wodnej w regionie (poprawa stanu technicznego i skuteczności zbiorników małej retencji).</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Realizacja działań służących minimalizacji zagrożeń wynikających z ekstremalnych zjawisk atmosferycznych i awarii przemysłowych.</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Właściwe zagospodarowanie przestrzenne terenów zagrożonych zjawiskami przyrodniczymi, w tym powodziami i suszami.</w:t>
            </w:r>
          </w:p>
        </w:tc>
      </w:tr>
      <w:tr w:rsidR="001A3B8F" w:rsidRPr="00AE35C1" w:rsidTr="000F375E">
        <w:trPr>
          <w:gridAfter w:val="1"/>
          <w:wAfter w:w="141" w:type="dxa"/>
          <w:trHeight w:val="265"/>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D860D6" w:rsidRPr="00AE35C1" w:rsidRDefault="00D860D6" w:rsidP="00FD0968">
            <w:pPr>
              <w:pStyle w:val="Bezodstpw"/>
              <w:numPr>
                <w:ilvl w:val="2"/>
                <w:numId w:val="5"/>
              </w:numPr>
              <w:spacing w:after="120"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Bezodstpw"/>
              <w:spacing w:after="120" w:line="360" w:lineRule="auto"/>
              <w:jc w:val="both"/>
              <w:rPr>
                <w:rFonts w:cs="Calibri"/>
                <w:color w:val="000000"/>
                <w:sz w:val="16"/>
                <w:szCs w:val="18"/>
              </w:rPr>
            </w:pPr>
            <w:r w:rsidRPr="00AE35C1">
              <w:rPr>
                <w:rFonts w:cs="Calibri"/>
                <w:color w:val="000000"/>
                <w:sz w:val="16"/>
                <w:szCs w:val="18"/>
              </w:rPr>
              <w:t>Doskonalenie metod szkolenia służb i innych podmiotów ratowniczych oraz poprawa ich wyposażenia w sprzęt ratowniczy.</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D860D6" w:rsidRPr="00AE35C1" w:rsidRDefault="00D860D6" w:rsidP="00FD0968">
            <w:pPr>
              <w:pStyle w:val="Akapitzlist"/>
              <w:numPr>
                <w:ilvl w:val="1"/>
                <w:numId w:val="5"/>
              </w:numPr>
              <w:suppressAutoHyphens/>
              <w:spacing w:after="0" w:line="360" w:lineRule="auto"/>
              <w:ind w:left="-108" w:firstLine="0"/>
              <w:jc w:val="both"/>
              <w:rPr>
                <w:rFonts w:cs="Calibri"/>
                <w:b/>
                <w:color w:val="000000"/>
                <w:sz w:val="18"/>
                <w:szCs w:val="20"/>
              </w:rPr>
            </w:pPr>
          </w:p>
        </w:tc>
        <w:tc>
          <w:tcPr>
            <w:tcW w:w="2699" w:type="dxa"/>
            <w:gridSpan w:val="2"/>
            <w:vMerge w:val="restart"/>
            <w:tcBorders>
              <w:left w:val="nil"/>
            </w:tcBorders>
            <w:shd w:val="clear" w:color="auto" w:fill="BFBFBF"/>
          </w:tcPr>
          <w:p w:rsidR="00D860D6" w:rsidRPr="00AE35C1" w:rsidRDefault="00D860D6" w:rsidP="00FD0968">
            <w:pPr>
              <w:pStyle w:val="Akapitzlist"/>
              <w:suppressAutoHyphens/>
              <w:spacing w:after="0" w:line="360" w:lineRule="auto"/>
              <w:ind w:left="34"/>
              <w:rPr>
                <w:rFonts w:cs="Calibri"/>
                <w:b/>
                <w:color w:val="000000"/>
                <w:sz w:val="18"/>
                <w:szCs w:val="20"/>
              </w:rPr>
            </w:pPr>
            <w:r w:rsidRPr="00AE35C1">
              <w:rPr>
                <w:rFonts w:cs="Calibri"/>
                <w:b/>
                <w:color w:val="000000"/>
                <w:sz w:val="18"/>
                <w:szCs w:val="20"/>
              </w:rPr>
              <w:t>Wspieranie produkcji energii ze źródeł odnawialnych oraz wspieranie bezpieczeństwa energetycznego</w:t>
            </w:r>
          </w:p>
        </w:tc>
        <w:tc>
          <w:tcPr>
            <w:tcW w:w="561" w:type="dxa"/>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1E47CF">
            <w:pPr>
              <w:pStyle w:val="Bezodstpw"/>
              <w:spacing w:line="360" w:lineRule="auto"/>
              <w:jc w:val="both"/>
              <w:rPr>
                <w:rFonts w:cs="Calibri"/>
                <w:color w:val="000000"/>
                <w:sz w:val="16"/>
                <w:szCs w:val="18"/>
              </w:rPr>
            </w:pPr>
            <w:r w:rsidRPr="00AE35C1">
              <w:rPr>
                <w:rFonts w:cs="Calibri"/>
                <w:color w:val="000000"/>
                <w:sz w:val="16"/>
                <w:szCs w:val="18"/>
              </w:rPr>
              <w:t>Wsparcie rozwoju energetyki</w:t>
            </w:r>
            <w:r w:rsidR="00563586" w:rsidRPr="00AE35C1">
              <w:rPr>
                <w:rFonts w:cs="Calibri"/>
                <w:color w:val="000000"/>
                <w:sz w:val="16"/>
                <w:szCs w:val="18"/>
              </w:rPr>
              <w:t xml:space="preserve"> konwencjonalnej </w:t>
            </w:r>
            <w:r w:rsidRPr="00AE35C1">
              <w:rPr>
                <w:rFonts w:cs="Calibri"/>
                <w:color w:val="000000"/>
                <w:sz w:val="16"/>
                <w:szCs w:val="18"/>
              </w:rPr>
              <w:t>i rozproszonej.</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Stymulowanie prac badawczych i wdrożeniowych związanych z produkcją energii ze źródeł odnawialnych.</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D860D6" w:rsidRPr="00AE35C1" w:rsidRDefault="00D860D6" w:rsidP="00FD0968">
            <w:pPr>
              <w:pStyle w:val="Bezodstpw"/>
              <w:numPr>
                <w:ilvl w:val="2"/>
                <w:numId w:val="5"/>
              </w:numPr>
              <w:spacing w:after="120"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Bezodstpw"/>
              <w:spacing w:after="120" w:line="360" w:lineRule="auto"/>
              <w:jc w:val="both"/>
              <w:rPr>
                <w:rFonts w:cs="Calibri"/>
                <w:color w:val="000000"/>
                <w:sz w:val="16"/>
                <w:szCs w:val="18"/>
              </w:rPr>
            </w:pPr>
            <w:r w:rsidRPr="00AE35C1">
              <w:rPr>
                <w:rFonts w:cs="Calibri"/>
                <w:color w:val="000000"/>
                <w:sz w:val="16"/>
                <w:szCs w:val="18"/>
              </w:rPr>
              <w:t>Podejmowanie działań na rzecz oszczędności zużycia energii</w:t>
            </w:r>
            <w:r w:rsidR="00C308FC" w:rsidRPr="00AE35C1">
              <w:rPr>
                <w:rFonts w:cs="Calibri"/>
                <w:color w:val="000000"/>
                <w:sz w:val="16"/>
                <w:szCs w:val="18"/>
              </w:rPr>
              <w:t xml:space="preserve"> oraz poprawy efektywności jej wykorzystania.</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D860D6" w:rsidRPr="00AE35C1" w:rsidRDefault="00D860D6" w:rsidP="00FD0968">
            <w:pPr>
              <w:pStyle w:val="Akapitzlist"/>
              <w:numPr>
                <w:ilvl w:val="1"/>
                <w:numId w:val="5"/>
              </w:numPr>
              <w:suppressAutoHyphens/>
              <w:spacing w:after="0" w:line="360" w:lineRule="auto"/>
              <w:ind w:left="-108" w:firstLine="0"/>
              <w:jc w:val="both"/>
              <w:rPr>
                <w:rFonts w:cs="Calibri"/>
                <w:b/>
                <w:color w:val="000000"/>
                <w:sz w:val="18"/>
                <w:szCs w:val="20"/>
              </w:rPr>
            </w:pPr>
          </w:p>
        </w:tc>
        <w:tc>
          <w:tcPr>
            <w:tcW w:w="2699" w:type="dxa"/>
            <w:gridSpan w:val="2"/>
            <w:vMerge w:val="restart"/>
            <w:tcBorders>
              <w:left w:val="nil"/>
            </w:tcBorders>
            <w:shd w:val="clear" w:color="auto" w:fill="BFBFBF"/>
          </w:tcPr>
          <w:p w:rsidR="00D860D6" w:rsidRPr="00AE35C1" w:rsidRDefault="00D860D6" w:rsidP="00FD0968">
            <w:pPr>
              <w:pStyle w:val="Akapitzlist"/>
              <w:suppressAutoHyphens/>
              <w:spacing w:after="0" w:line="360" w:lineRule="auto"/>
              <w:ind w:left="34"/>
              <w:rPr>
                <w:rFonts w:cs="Calibri"/>
                <w:b/>
                <w:color w:val="000000"/>
                <w:sz w:val="18"/>
                <w:szCs w:val="20"/>
              </w:rPr>
            </w:pPr>
            <w:r w:rsidRPr="00AE35C1">
              <w:rPr>
                <w:rFonts w:cs="Calibri"/>
                <w:b/>
                <w:color w:val="000000"/>
                <w:sz w:val="18"/>
                <w:szCs w:val="20"/>
              </w:rPr>
              <w:t>Ochrona obiektów i terenów dziedzictwa kulturowego</w:t>
            </w:r>
          </w:p>
        </w:tc>
        <w:tc>
          <w:tcPr>
            <w:tcW w:w="561" w:type="dxa"/>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Wsparcie przedsięwzięć służących rozwojowi kultury i dziedzictwa kulturowego w regionie.</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99" w:type="dxa"/>
            <w:gridSpan w:val="2"/>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61" w:type="dxa"/>
            <w:tcBorders>
              <w:right w:val="nil"/>
            </w:tcBorders>
            <w:shd w:val="clear" w:color="auto" w:fill="D9D9D9"/>
          </w:tcPr>
          <w:p w:rsidR="00D860D6" w:rsidRPr="00AE35C1" w:rsidRDefault="00D860D6" w:rsidP="00FD0968">
            <w:pPr>
              <w:pStyle w:val="Bezodstpw"/>
              <w:numPr>
                <w:ilvl w:val="2"/>
                <w:numId w:val="5"/>
              </w:numPr>
              <w:spacing w:after="120"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Bezodstpw"/>
              <w:spacing w:after="120" w:line="360" w:lineRule="auto"/>
              <w:jc w:val="both"/>
              <w:rPr>
                <w:rFonts w:cs="Calibri"/>
                <w:color w:val="000000"/>
                <w:sz w:val="16"/>
                <w:szCs w:val="18"/>
              </w:rPr>
            </w:pPr>
            <w:r w:rsidRPr="00AE35C1">
              <w:rPr>
                <w:rFonts w:cs="Calibri"/>
                <w:color w:val="000000"/>
                <w:sz w:val="16"/>
                <w:szCs w:val="18"/>
              </w:rPr>
              <w:t xml:space="preserve">Wspieranie </w:t>
            </w:r>
            <w:r w:rsidR="00A83686">
              <w:rPr>
                <w:rFonts w:cs="Calibri"/>
                <w:color w:val="000000"/>
                <w:sz w:val="16"/>
                <w:szCs w:val="18"/>
              </w:rPr>
              <w:t xml:space="preserve">i udostępnianie </w:t>
            </w:r>
            <w:r w:rsidRPr="00AE35C1">
              <w:rPr>
                <w:rFonts w:cs="Calibri"/>
                <w:color w:val="000000"/>
                <w:sz w:val="16"/>
                <w:szCs w:val="18"/>
              </w:rPr>
              <w:t>zintegrowanych działań służących ochronie dziedzictwa kulturowego i jego promocji.</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D860D6" w:rsidRPr="00AE35C1" w:rsidRDefault="00D860D6" w:rsidP="00FD0968">
            <w:pPr>
              <w:pStyle w:val="Akapitzlist"/>
              <w:numPr>
                <w:ilvl w:val="1"/>
                <w:numId w:val="5"/>
              </w:numPr>
              <w:suppressAutoHyphens/>
              <w:spacing w:after="0" w:line="360" w:lineRule="auto"/>
              <w:ind w:left="-108" w:firstLine="0"/>
              <w:jc w:val="both"/>
              <w:rPr>
                <w:rFonts w:cs="Calibri"/>
                <w:b/>
                <w:color w:val="000000"/>
                <w:sz w:val="18"/>
                <w:szCs w:val="20"/>
              </w:rPr>
            </w:pPr>
          </w:p>
        </w:tc>
        <w:tc>
          <w:tcPr>
            <w:tcW w:w="2699" w:type="dxa"/>
            <w:gridSpan w:val="2"/>
            <w:vMerge w:val="restart"/>
            <w:tcBorders>
              <w:left w:val="nil"/>
            </w:tcBorders>
            <w:shd w:val="clear" w:color="auto" w:fill="BFBFBF"/>
          </w:tcPr>
          <w:p w:rsidR="00D860D6" w:rsidRPr="00AE35C1" w:rsidRDefault="00D860D6" w:rsidP="00FD0968">
            <w:pPr>
              <w:pStyle w:val="Akapitzlist"/>
              <w:suppressAutoHyphens/>
              <w:spacing w:after="0" w:line="360" w:lineRule="auto"/>
              <w:ind w:left="34"/>
              <w:rPr>
                <w:rFonts w:cs="Calibri"/>
                <w:b/>
                <w:color w:val="000000"/>
                <w:sz w:val="18"/>
                <w:szCs w:val="20"/>
              </w:rPr>
            </w:pPr>
            <w:r w:rsidRPr="00AE35C1">
              <w:rPr>
                <w:rFonts w:cs="Calibri"/>
                <w:b/>
                <w:color w:val="000000"/>
                <w:sz w:val="18"/>
                <w:szCs w:val="20"/>
              </w:rPr>
              <w:t>Rozwój gospodarki o obiegu zamkniętym</w:t>
            </w:r>
          </w:p>
        </w:tc>
        <w:tc>
          <w:tcPr>
            <w:tcW w:w="561" w:type="dxa"/>
            <w:tcBorders>
              <w:right w:val="nil"/>
            </w:tcBorders>
            <w:shd w:val="clear" w:color="auto" w:fill="D9D9D9"/>
          </w:tcPr>
          <w:p w:rsidR="00D860D6" w:rsidRPr="00AE35C1" w:rsidRDefault="00D860D6" w:rsidP="00FD0968">
            <w:pPr>
              <w:pStyle w:val="Akapitzlist"/>
              <w:numPr>
                <w:ilvl w:val="2"/>
                <w:numId w:val="5"/>
              </w:numPr>
              <w:suppressAutoHyphens/>
              <w:spacing w:after="0" w:line="360" w:lineRule="auto"/>
              <w:ind w:left="0" w:firstLine="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Akapitzlist"/>
              <w:suppressAutoHyphens/>
              <w:spacing w:after="0" w:line="360" w:lineRule="auto"/>
              <w:ind w:left="0"/>
              <w:jc w:val="both"/>
              <w:rPr>
                <w:rFonts w:cs="Calibri"/>
                <w:color w:val="000000"/>
                <w:sz w:val="16"/>
                <w:szCs w:val="18"/>
              </w:rPr>
            </w:pPr>
            <w:r w:rsidRPr="00AE35C1">
              <w:rPr>
                <w:rFonts w:cs="Calibri"/>
                <w:color w:val="000000"/>
                <w:sz w:val="16"/>
                <w:szCs w:val="18"/>
              </w:rPr>
              <w:t>Wsparcie przedsięwzięć na rzecz zmniejszenia zużycia surowców oraz ograniczenia wytwarzania odpadów w procesach produkcyjnych.</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20"/>
                <w:szCs w:val="20"/>
              </w:rPr>
            </w:pPr>
          </w:p>
        </w:tc>
        <w:tc>
          <w:tcPr>
            <w:tcW w:w="2699" w:type="dxa"/>
            <w:gridSpan w:val="2"/>
            <w:vMerge/>
            <w:tcBorders>
              <w:left w:val="nil"/>
            </w:tcBorders>
            <w:shd w:val="clear" w:color="auto" w:fill="BFBFBF"/>
          </w:tcPr>
          <w:p w:rsidR="00D860D6" w:rsidRPr="00AE35C1" w:rsidRDefault="00D860D6" w:rsidP="00FD0968">
            <w:pPr>
              <w:suppressAutoHyphens/>
              <w:spacing w:after="0" w:line="360" w:lineRule="auto"/>
              <w:ind w:left="34"/>
              <w:rPr>
                <w:b/>
                <w:color w:val="404040"/>
                <w:sz w:val="20"/>
                <w:szCs w:val="20"/>
              </w:rPr>
            </w:pPr>
          </w:p>
        </w:tc>
        <w:tc>
          <w:tcPr>
            <w:tcW w:w="561" w:type="dxa"/>
            <w:tcBorders>
              <w:right w:val="nil"/>
            </w:tcBorders>
            <w:shd w:val="clear" w:color="auto" w:fill="D9D9D9"/>
          </w:tcPr>
          <w:p w:rsidR="00D860D6" w:rsidRPr="00AE35C1" w:rsidRDefault="00D860D6" w:rsidP="00FD0968">
            <w:pPr>
              <w:pStyle w:val="Akapitzlist"/>
              <w:numPr>
                <w:ilvl w:val="2"/>
                <w:numId w:val="5"/>
              </w:numPr>
              <w:suppressAutoHyphens/>
              <w:spacing w:after="0" w:line="360" w:lineRule="auto"/>
              <w:ind w:left="0" w:firstLine="0"/>
              <w:contextualSpacing w:val="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Akapitzlist"/>
              <w:suppressAutoHyphens/>
              <w:spacing w:after="0" w:line="360" w:lineRule="auto"/>
              <w:ind w:left="0"/>
              <w:contextualSpacing w:val="0"/>
              <w:jc w:val="both"/>
              <w:rPr>
                <w:rFonts w:cs="Calibri"/>
                <w:color w:val="000000"/>
                <w:sz w:val="16"/>
                <w:szCs w:val="18"/>
              </w:rPr>
            </w:pPr>
            <w:r w:rsidRPr="00AE35C1">
              <w:rPr>
                <w:rFonts w:cs="Calibri"/>
                <w:color w:val="000000"/>
                <w:sz w:val="16"/>
                <w:szCs w:val="18"/>
              </w:rPr>
              <w:t>Wsparcie projektów wykorzystujących rynek surowców wtórnych i „re-manufacturing”.</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20"/>
                <w:szCs w:val="20"/>
              </w:rPr>
            </w:pPr>
          </w:p>
        </w:tc>
        <w:tc>
          <w:tcPr>
            <w:tcW w:w="2699" w:type="dxa"/>
            <w:gridSpan w:val="2"/>
            <w:vMerge/>
            <w:tcBorders>
              <w:left w:val="nil"/>
            </w:tcBorders>
            <w:shd w:val="clear" w:color="auto" w:fill="BFBFBF"/>
          </w:tcPr>
          <w:p w:rsidR="00D860D6" w:rsidRPr="00AE35C1" w:rsidRDefault="00D860D6" w:rsidP="00FD0968">
            <w:pPr>
              <w:suppressAutoHyphens/>
              <w:spacing w:after="0" w:line="360" w:lineRule="auto"/>
              <w:ind w:left="34"/>
              <w:rPr>
                <w:b/>
                <w:color w:val="404040"/>
                <w:sz w:val="20"/>
                <w:szCs w:val="20"/>
              </w:rPr>
            </w:pPr>
          </w:p>
        </w:tc>
        <w:tc>
          <w:tcPr>
            <w:tcW w:w="561" w:type="dxa"/>
            <w:tcBorders>
              <w:right w:val="nil"/>
            </w:tcBorders>
            <w:shd w:val="clear" w:color="auto" w:fill="D9D9D9"/>
          </w:tcPr>
          <w:p w:rsidR="00D860D6" w:rsidRPr="00AE35C1" w:rsidRDefault="00D860D6" w:rsidP="00FD0968">
            <w:pPr>
              <w:pStyle w:val="Akapitzlist"/>
              <w:numPr>
                <w:ilvl w:val="2"/>
                <w:numId w:val="5"/>
              </w:numPr>
              <w:suppressAutoHyphens/>
              <w:spacing w:after="0" w:line="360" w:lineRule="auto"/>
              <w:ind w:left="0" w:firstLine="0"/>
              <w:contextualSpacing w:val="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Akapitzlist"/>
              <w:suppressAutoHyphens/>
              <w:spacing w:after="0" w:line="360" w:lineRule="auto"/>
              <w:ind w:left="0"/>
              <w:contextualSpacing w:val="0"/>
              <w:jc w:val="both"/>
              <w:rPr>
                <w:rFonts w:cs="Calibri"/>
                <w:color w:val="000000"/>
                <w:sz w:val="16"/>
                <w:szCs w:val="18"/>
              </w:rPr>
            </w:pPr>
            <w:r w:rsidRPr="00AE35C1">
              <w:rPr>
                <w:rFonts w:cs="Calibri"/>
                <w:color w:val="000000"/>
                <w:sz w:val="16"/>
                <w:szCs w:val="18"/>
              </w:rPr>
              <w:t>Rozwój modeli biznesowych wspierających rozbudowane systemy serwisowania i napraw produktów.</w:t>
            </w:r>
          </w:p>
        </w:tc>
      </w:tr>
      <w:tr w:rsidR="001A3B8F" w:rsidRPr="00AE35C1" w:rsidTr="000F375E">
        <w:trPr>
          <w:gridAfter w:val="1"/>
          <w:wAfter w:w="141" w:type="dxa"/>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20"/>
                <w:szCs w:val="20"/>
              </w:rPr>
            </w:pPr>
          </w:p>
        </w:tc>
        <w:tc>
          <w:tcPr>
            <w:tcW w:w="2699" w:type="dxa"/>
            <w:gridSpan w:val="2"/>
            <w:vMerge/>
            <w:tcBorders>
              <w:left w:val="nil"/>
            </w:tcBorders>
            <w:shd w:val="clear" w:color="auto" w:fill="BFBFBF"/>
          </w:tcPr>
          <w:p w:rsidR="00D860D6" w:rsidRPr="00AE35C1" w:rsidRDefault="00D860D6" w:rsidP="00FD0968">
            <w:pPr>
              <w:suppressAutoHyphens/>
              <w:spacing w:after="0" w:line="360" w:lineRule="auto"/>
              <w:ind w:left="34"/>
              <w:rPr>
                <w:b/>
                <w:color w:val="404040"/>
                <w:sz w:val="20"/>
                <w:szCs w:val="20"/>
              </w:rPr>
            </w:pPr>
          </w:p>
        </w:tc>
        <w:tc>
          <w:tcPr>
            <w:tcW w:w="561" w:type="dxa"/>
            <w:tcBorders>
              <w:right w:val="nil"/>
            </w:tcBorders>
            <w:shd w:val="clear" w:color="auto" w:fill="D9D9D9"/>
          </w:tcPr>
          <w:p w:rsidR="00D860D6" w:rsidRPr="00AE35C1" w:rsidRDefault="00D860D6" w:rsidP="00FD0968">
            <w:pPr>
              <w:pStyle w:val="Akapitzlist"/>
              <w:numPr>
                <w:ilvl w:val="2"/>
                <w:numId w:val="5"/>
              </w:numPr>
              <w:suppressAutoHyphens/>
              <w:spacing w:after="120" w:line="360" w:lineRule="auto"/>
              <w:ind w:left="0" w:firstLine="0"/>
              <w:contextualSpacing w:val="0"/>
              <w:jc w:val="both"/>
              <w:rPr>
                <w:rFonts w:cs="Calibri"/>
                <w:color w:val="000000"/>
                <w:sz w:val="16"/>
                <w:szCs w:val="18"/>
              </w:rPr>
            </w:pPr>
          </w:p>
        </w:tc>
        <w:tc>
          <w:tcPr>
            <w:tcW w:w="9929" w:type="dxa"/>
            <w:tcBorders>
              <w:left w:val="nil"/>
            </w:tcBorders>
            <w:shd w:val="clear" w:color="auto" w:fill="D9D9D9"/>
          </w:tcPr>
          <w:p w:rsidR="00D860D6" w:rsidRPr="00AE35C1" w:rsidRDefault="00D860D6" w:rsidP="00FD0968">
            <w:pPr>
              <w:pStyle w:val="Akapitzlist"/>
              <w:suppressAutoHyphens/>
              <w:spacing w:after="120" w:line="360" w:lineRule="auto"/>
              <w:ind w:left="0"/>
              <w:contextualSpacing w:val="0"/>
              <w:jc w:val="both"/>
              <w:rPr>
                <w:rFonts w:cs="Calibri"/>
                <w:color w:val="000000"/>
                <w:sz w:val="16"/>
                <w:szCs w:val="18"/>
              </w:rPr>
            </w:pPr>
            <w:r w:rsidRPr="00AE35C1">
              <w:rPr>
                <w:rFonts w:cs="Calibri"/>
                <w:color w:val="000000"/>
                <w:sz w:val="16"/>
                <w:szCs w:val="18"/>
              </w:rPr>
              <w:t>Edukacja społeczna na rzecz gospodarki o obiegu zamkniętym (kampanie społeczne, kampanie świadomościowe).</w:t>
            </w:r>
          </w:p>
        </w:tc>
      </w:tr>
      <w:tr w:rsidR="001A3B8F" w:rsidRPr="00AE35C1" w:rsidTr="000F375E">
        <w:tc>
          <w:tcPr>
            <w:tcW w:w="1555" w:type="dxa"/>
            <w:gridSpan w:val="2"/>
            <w:tcBorders>
              <w:bottom w:val="single" w:sz="18" w:space="0" w:color="FFFFFF"/>
            </w:tcBorders>
            <w:shd w:val="clear" w:color="auto" w:fill="A6A6A6"/>
            <w:vAlign w:val="center"/>
          </w:tcPr>
          <w:p w:rsidR="00D860D6" w:rsidRPr="00AE35C1" w:rsidRDefault="00D860D6" w:rsidP="00FD0968">
            <w:pPr>
              <w:pStyle w:val="Akapitzlist"/>
              <w:suppressAutoHyphens/>
              <w:spacing w:after="0" w:line="360" w:lineRule="auto"/>
              <w:ind w:left="0"/>
              <w:jc w:val="center"/>
              <w:rPr>
                <w:b/>
                <w:color w:val="FFFFFF"/>
                <w:sz w:val="20"/>
                <w:szCs w:val="21"/>
              </w:rPr>
            </w:pPr>
            <w:r w:rsidRPr="00AE35C1">
              <w:rPr>
                <w:b/>
                <w:bCs/>
                <w:color w:val="FFFFFF"/>
                <w:sz w:val="20"/>
                <w:szCs w:val="21"/>
              </w:rPr>
              <w:t xml:space="preserve">CEL </w:t>
            </w:r>
            <w:r w:rsidRPr="00AE35C1">
              <w:rPr>
                <w:b/>
                <w:bCs/>
                <w:color w:val="FFFFFF"/>
                <w:sz w:val="20"/>
                <w:szCs w:val="21"/>
              </w:rPr>
              <w:lastRenderedPageBreak/>
              <w:t>STRATEGICZNY</w:t>
            </w:r>
          </w:p>
        </w:tc>
        <w:tc>
          <w:tcPr>
            <w:tcW w:w="2958" w:type="dxa"/>
            <w:gridSpan w:val="2"/>
            <w:tcBorders>
              <w:bottom w:val="single" w:sz="18" w:space="0" w:color="FFFFFF"/>
            </w:tcBorders>
            <w:shd w:val="clear" w:color="auto" w:fill="BFBFBF"/>
            <w:vAlign w:val="center"/>
          </w:tcPr>
          <w:p w:rsidR="00D860D6" w:rsidRPr="00AE35C1" w:rsidRDefault="00D860D6" w:rsidP="00FD0968">
            <w:pPr>
              <w:suppressAutoHyphens/>
              <w:spacing w:after="0" w:line="360" w:lineRule="auto"/>
              <w:jc w:val="center"/>
              <w:rPr>
                <w:b/>
                <w:color w:val="FFFFFF"/>
                <w:sz w:val="20"/>
                <w:szCs w:val="21"/>
              </w:rPr>
            </w:pPr>
            <w:r w:rsidRPr="00AE35C1">
              <w:rPr>
                <w:b/>
                <w:color w:val="FFFFFF"/>
                <w:sz w:val="20"/>
                <w:szCs w:val="21"/>
              </w:rPr>
              <w:lastRenderedPageBreak/>
              <w:t>CEL OPERACYJNY</w:t>
            </w:r>
          </w:p>
        </w:tc>
        <w:tc>
          <w:tcPr>
            <w:tcW w:w="10655" w:type="dxa"/>
            <w:gridSpan w:val="4"/>
            <w:tcBorders>
              <w:bottom w:val="single" w:sz="18" w:space="0" w:color="FFFFFF"/>
            </w:tcBorders>
            <w:shd w:val="clear" w:color="auto" w:fill="D9D9D9"/>
            <w:vAlign w:val="center"/>
          </w:tcPr>
          <w:p w:rsidR="00D860D6" w:rsidRPr="00AE35C1" w:rsidRDefault="00D860D6" w:rsidP="00FD0968">
            <w:pPr>
              <w:spacing w:after="0" w:line="360" w:lineRule="auto"/>
              <w:rPr>
                <w:b/>
                <w:color w:val="FFFFFF"/>
                <w:sz w:val="20"/>
                <w:szCs w:val="21"/>
              </w:rPr>
            </w:pPr>
            <w:r w:rsidRPr="00AE35C1">
              <w:rPr>
                <w:b/>
                <w:color w:val="FFFFFF"/>
                <w:sz w:val="20"/>
                <w:szCs w:val="21"/>
              </w:rPr>
              <w:t>KIERUNKI DZIAŁAŃ STRATEGICZNYCH:</w:t>
            </w:r>
          </w:p>
        </w:tc>
      </w:tr>
      <w:tr w:rsidR="001A3B8F" w:rsidRPr="00AE35C1" w:rsidTr="000F375E">
        <w:tc>
          <w:tcPr>
            <w:tcW w:w="421" w:type="dxa"/>
            <w:vMerge w:val="restart"/>
            <w:tcBorders>
              <w:right w:val="nil"/>
            </w:tcBorders>
            <w:shd w:val="clear" w:color="auto" w:fill="A6A6A6"/>
          </w:tcPr>
          <w:p w:rsidR="00D860D6" w:rsidRPr="00AE35C1" w:rsidRDefault="00D860D6" w:rsidP="00FD0968">
            <w:pPr>
              <w:pStyle w:val="Akapitzlist"/>
              <w:numPr>
                <w:ilvl w:val="0"/>
                <w:numId w:val="5"/>
              </w:numPr>
              <w:suppressAutoHyphens/>
              <w:spacing w:before="300" w:after="0" w:line="360" w:lineRule="auto"/>
              <w:ind w:left="-23" w:firstLine="0"/>
              <w:contextualSpacing w:val="0"/>
              <w:jc w:val="both"/>
              <w:rPr>
                <w:rFonts w:cs="Calibri"/>
                <w:b/>
                <w:bCs/>
                <w:sz w:val="21"/>
                <w:szCs w:val="21"/>
              </w:rPr>
            </w:pPr>
          </w:p>
        </w:tc>
        <w:tc>
          <w:tcPr>
            <w:tcW w:w="1134" w:type="dxa"/>
            <w:vMerge w:val="restart"/>
            <w:tcBorders>
              <w:left w:val="nil"/>
            </w:tcBorders>
            <w:shd w:val="clear" w:color="auto" w:fill="A6A6A6"/>
            <w:textDirection w:val="btLr"/>
          </w:tcPr>
          <w:p w:rsidR="00D860D6" w:rsidRPr="00AE35C1" w:rsidRDefault="00D860D6" w:rsidP="00FD0968">
            <w:pPr>
              <w:pStyle w:val="Akapitzlist"/>
              <w:suppressAutoHyphens/>
              <w:spacing w:before="300" w:after="0" w:line="360" w:lineRule="auto"/>
              <w:ind w:left="-23" w:right="113"/>
              <w:contextualSpacing w:val="0"/>
              <w:jc w:val="center"/>
              <w:rPr>
                <w:rFonts w:cs="Calibri"/>
                <w:b/>
                <w:bCs/>
                <w:sz w:val="21"/>
                <w:szCs w:val="21"/>
              </w:rPr>
            </w:pPr>
            <w:r w:rsidRPr="00AE35C1">
              <w:rPr>
                <w:rFonts w:cs="Calibri"/>
                <w:b/>
                <w:bCs/>
                <w:sz w:val="21"/>
                <w:szCs w:val="21"/>
              </w:rPr>
              <w:t>WZMOCNIENIE PRZESTRZENNEJ SPÓJNOŚCI REGIONU</w:t>
            </w:r>
          </w:p>
        </w:tc>
        <w:tc>
          <w:tcPr>
            <w:tcW w:w="283" w:type="dxa"/>
            <w:vMerge w:val="restart"/>
            <w:tcBorders>
              <w:right w:val="nil"/>
            </w:tcBorders>
            <w:shd w:val="clear" w:color="auto" w:fill="BFBFBF"/>
          </w:tcPr>
          <w:p w:rsidR="00D860D6" w:rsidRPr="00AE35C1" w:rsidRDefault="00D860D6" w:rsidP="00FD0968">
            <w:pPr>
              <w:pStyle w:val="Akapitzlist"/>
              <w:numPr>
                <w:ilvl w:val="1"/>
                <w:numId w:val="5"/>
              </w:numPr>
              <w:tabs>
                <w:tab w:val="left" w:pos="567"/>
              </w:tabs>
              <w:suppressAutoHyphens/>
              <w:spacing w:after="0" w:line="360" w:lineRule="auto"/>
              <w:ind w:left="-108" w:firstLine="0"/>
              <w:contextualSpacing w:val="0"/>
              <w:jc w:val="both"/>
              <w:rPr>
                <w:rFonts w:cs="Calibri"/>
                <w:b/>
                <w:color w:val="000000"/>
                <w:sz w:val="18"/>
                <w:szCs w:val="20"/>
              </w:rPr>
            </w:pPr>
          </w:p>
        </w:tc>
        <w:tc>
          <w:tcPr>
            <w:tcW w:w="2675" w:type="dxa"/>
            <w:vMerge w:val="restart"/>
            <w:tcBorders>
              <w:left w:val="nil"/>
            </w:tcBorders>
            <w:shd w:val="clear" w:color="auto" w:fill="BFBFBF"/>
          </w:tcPr>
          <w:p w:rsidR="00D860D6" w:rsidRPr="00AE35C1" w:rsidRDefault="00D860D6" w:rsidP="006146A6">
            <w:pPr>
              <w:pStyle w:val="Akapitzlist"/>
              <w:tabs>
                <w:tab w:val="left" w:pos="567"/>
              </w:tabs>
              <w:suppressAutoHyphens/>
              <w:spacing w:after="0" w:line="360" w:lineRule="auto"/>
              <w:ind w:left="34"/>
              <w:contextualSpacing w:val="0"/>
              <w:rPr>
                <w:rFonts w:cs="Calibri"/>
                <w:b/>
                <w:color w:val="000000"/>
                <w:sz w:val="18"/>
                <w:szCs w:val="20"/>
              </w:rPr>
            </w:pPr>
            <w:r w:rsidRPr="00AE35C1">
              <w:rPr>
                <w:rFonts w:cs="Calibri"/>
                <w:b/>
                <w:color w:val="000000"/>
                <w:sz w:val="18"/>
                <w:szCs w:val="20"/>
              </w:rPr>
              <w:t xml:space="preserve">Rozwój regionalnej sieci </w:t>
            </w:r>
            <w:r w:rsidR="006146A6">
              <w:rPr>
                <w:rFonts w:cs="Calibri"/>
                <w:b/>
                <w:color w:val="000000"/>
                <w:sz w:val="18"/>
                <w:szCs w:val="20"/>
              </w:rPr>
              <w:t>transportowej</w:t>
            </w: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Modernizacja dróg i linii kolejowych na terenie województwa, ze szczególnym uwzględnieniem problematyki transportu ciężkiego.</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Budowa obwodnic miejscowości.</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bCs/>
                <w:sz w:val="16"/>
                <w:szCs w:val="18"/>
              </w:rPr>
            </w:pPr>
          </w:p>
        </w:tc>
        <w:tc>
          <w:tcPr>
            <w:tcW w:w="10070" w:type="dxa"/>
            <w:gridSpan w:val="2"/>
            <w:tcBorders>
              <w:left w:val="nil"/>
            </w:tcBorders>
            <w:shd w:val="clear" w:color="auto" w:fill="D9D9D9"/>
          </w:tcPr>
          <w:p w:rsidR="00D860D6" w:rsidRPr="00AE35C1" w:rsidRDefault="00D860D6" w:rsidP="00FD0968">
            <w:pPr>
              <w:pStyle w:val="Bezodstpw"/>
              <w:spacing w:line="360" w:lineRule="auto"/>
              <w:jc w:val="both"/>
              <w:rPr>
                <w:rFonts w:cs="Calibri"/>
                <w:sz w:val="16"/>
                <w:szCs w:val="18"/>
              </w:rPr>
            </w:pPr>
            <w:r w:rsidRPr="00AE35C1">
              <w:rPr>
                <w:bCs/>
                <w:sz w:val="16"/>
                <w:szCs w:val="18"/>
              </w:rPr>
              <w:t xml:space="preserve">Rozwój i budowa systemów kolei aglomeracyjnej w obrębie miast o znaczeniu regionalnym i </w:t>
            </w:r>
            <w:proofErr w:type="spellStart"/>
            <w:r w:rsidRPr="00AE35C1">
              <w:rPr>
                <w:bCs/>
                <w:sz w:val="16"/>
                <w:szCs w:val="18"/>
              </w:rPr>
              <w:t>subregionalnym</w:t>
            </w:r>
            <w:proofErr w:type="spellEnd"/>
            <w:r w:rsidRPr="00AE35C1">
              <w:rPr>
                <w:bCs/>
                <w:sz w:val="16"/>
                <w:szCs w:val="18"/>
              </w:rPr>
              <w:t>, będących generatorami ruchu aglomeracyjnego.</w:t>
            </w:r>
          </w:p>
        </w:tc>
      </w:tr>
      <w:tr w:rsidR="0051097A" w:rsidRPr="00AE35C1" w:rsidTr="000F375E">
        <w:tc>
          <w:tcPr>
            <w:tcW w:w="421" w:type="dxa"/>
            <w:vMerge/>
            <w:tcBorders>
              <w:right w:val="nil"/>
            </w:tcBorders>
            <w:shd w:val="clear" w:color="auto" w:fill="A6A6A6"/>
          </w:tcPr>
          <w:p w:rsidR="0051097A" w:rsidRPr="00AE35C1" w:rsidRDefault="0051097A"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51097A" w:rsidRPr="00AE35C1" w:rsidRDefault="0051097A"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51097A" w:rsidRPr="00AE35C1" w:rsidRDefault="0051097A"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51097A" w:rsidRPr="00AE35C1" w:rsidRDefault="0051097A" w:rsidP="00FD0968">
            <w:pPr>
              <w:suppressAutoHyphens/>
              <w:spacing w:after="0" w:line="360" w:lineRule="auto"/>
              <w:ind w:left="34"/>
              <w:rPr>
                <w:b/>
                <w:color w:val="404040"/>
                <w:sz w:val="18"/>
                <w:szCs w:val="20"/>
              </w:rPr>
            </w:pPr>
          </w:p>
        </w:tc>
        <w:tc>
          <w:tcPr>
            <w:tcW w:w="585" w:type="dxa"/>
            <w:gridSpan w:val="2"/>
            <w:tcBorders>
              <w:right w:val="nil"/>
            </w:tcBorders>
            <w:shd w:val="clear" w:color="auto" w:fill="D9D9D9"/>
          </w:tcPr>
          <w:p w:rsidR="0051097A" w:rsidRPr="00AE35C1" w:rsidRDefault="0051097A" w:rsidP="00FD0968">
            <w:pPr>
              <w:pStyle w:val="Bezodstpw"/>
              <w:numPr>
                <w:ilvl w:val="2"/>
                <w:numId w:val="5"/>
              </w:numPr>
              <w:spacing w:line="360" w:lineRule="auto"/>
              <w:ind w:left="0" w:firstLine="0"/>
              <w:jc w:val="both"/>
              <w:rPr>
                <w:bCs/>
                <w:sz w:val="16"/>
                <w:szCs w:val="18"/>
              </w:rPr>
            </w:pPr>
          </w:p>
        </w:tc>
        <w:tc>
          <w:tcPr>
            <w:tcW w:w="10070" w:type="dxa"/>
            <w:gridSpan w:val="2"/>
            <w:tcBorders>
              <w:left w:val="nil"/>
            </w:tcBorders>
            <w:shd w:val="clear" w:color="auto" w:fill="D9D9D9"/>
          </w:tcPr>
          <w:p w:rsidR="0051097A" w:rsidRPr="00AE35C1" w:rsidRDefault="0051097A" w:rsidP="00FD0968">
            <w:pPr>
              <w:pStyle w:val="Bezodstpw"/>
              <w:spacing w:line="360" w:lineRule="auto"/>
              <w:jc w:val="both"/>
              <w:rPr>
                <w:bCs/>
                <w:sz w:val="16"/>
                <w:szCs w:val="18"/>
              </w:rPr>
            </w:pPr>
            <w:r>
              <w:rPr>
                <w:bCs/>
                <w:sz w:val="16"/>
                <w:szCs w:val="18"/>
              </w:rPr>
              <w:t>Rozwój transportu powietrznego.</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7505CB">
            <w:pPr>
              <w:pStyle w:val="Bezodstpw"/>
              <w:spacing w:line="360" w:lineRule="auto"/>
              <w:jc w:val="both"/>
              <w:rPr>
                <w:rFonts w:cs="Calibri"/>
                <w:color w:val="000000"/>
                <w:sz w:val="16"/>
                <w:szCs w:val="18"/>
              </w:rPr>
            </w:pPr>
            <w:r w:rsidRPr="00AE35C1">
              <w:rPr>
                <w:rFonts w:cs="Calibri"/>
                <w:color w:val="000000"/>
                <w:sz w:val="16"/>
                <w:szCs w:val="18"/>
              </w:rPr>
              <w:t xml:space="preserve">Modernizacja taboru na potrzeby regionalnego systemu transportu </w:t>
            </w:r>
            <w:r w:rsidR="007505CB">
              <w:rPr>
                <w:rFonts w:cs="Calibri"/>
                <w:color w:val="000000"/>
                <w:sz w:val="16"/>
                <w:szCs w:val="18"/>
              </w:rPr>
              <w:t>zbiorowego</w:t>
            </w:r>
            <w:r w:rsidRPr="00AE35C1">
              <w:rPr>
                <w:rFonts w:cs="Calibri"/>
                <w:color w:val="000000"/>
                <w:sz w:val="16"/>
                <w:szCs w:val="18"/>
              </w:rPr>
              <w:t>.</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Rozwój systemu regionalnego transportu towarowego, w tym budowa intermodalnych węzłów logistycznych i przeładunkowych.</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Budowa i modernizacja przepraw mostowych w regionie.</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7505CB">
            <w:pPr>
              <w:pStyle w:val="Bezodstpw"/>
              <w:spacing w:line="360" w:lineRule="auto"/>
              <w:jc w:val="both"/>
              <w:rPr>
                <w:rFonts w:cs="Calibri"/>
                <w:color w:val="000000"/>
                <w:sz w:val="16"/>
                <w:szCs w:val="18"/>
              </w:rPr>
            </w:pPr>
            <w:r w:rsidRPr="00AE35C1">
              <w:rPr>
                <w:rFonts w:cs="Calibri"/>
                <w:color w:val="000000"/>
                <w:sz w:val="16"/>
                <w:szCs w:val="18"/>
              </w:rPr>
              <w:t xml:space="preserve">Rozwój zintegrowanych </w:t>
            </w:r>
            <w:proofErr w:type="spellStart"/>
            <w:r w:rsidRPr="00AE35C1">
              <w:rPr>
                <w:rFonts w:cs="Calibri"/>
                <w:color w:val="000000"/>
                <w:sz w:val="16"/>
                <w:szCs w:val="18"/>
              </w:rPr>
              <w:t>subregionalnych</w:t>
            </w:r>
            <w:proofErr w:type="spellEnd"/>
            <w:r w:rsidRPr="00AE35C1">
              <w:rPr>
                <w:rFonts w:cs="Calibri"/>
                <w:color w:val="000000"/>
                <w:sz w:val="16"/>
                <w:szCs w:val="18"/>
              </w:rPr>
              <w:t xml:space="preserve"> systemów transportu </w:t>
            </w:r>
            <w:r w:rsidR="007505CB">
              <w:rPr>
                <w:rFonts w:cs="Calibri"/>
                <w:color w:val="000000"/>
                <w:sz w:val="16"/>
                <w:szCs w:val="18"/>
              </w:rPr>
              <w:t>zbiorowego</w:t>
            </w:r>
            <w:r w:rsidRPr="00AE35C1">
              <w:rPr>
                <w:rFonts w:cs="Calibri"/>
                <w:color w:val="000000"/>
                <w:sz w:val="16"/>
                <w:szCs w:val="18"/>
              </w:rPr>
              <w:t>.</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Wsparcie działań na rzecz zwiększenia efektywności transportu w ujęciu proekologicznym (</w:t>
            </w:r>
            <w:proofErr w:type="spellStart"/>
            <w:r w:rsidRPr="00AE35C1">
              <w:rPr>
                <w:rFonts w:cs="Calibri"/>
                <w:color w:val="000000"/>
                <w:sz w:val="16"/>
                <w:szCs w:val="18"/>
              </w:rPr>
              <w:t>elektromobilność</w:t>
            </w:r>
            <w:proofErr w:type="spellEnd"/>
            <w:r w:rsidRPr="00AE35C1">
              <w:rPr>
                <w:rFonts w:cs="Calibri"/>
                <w:color w:val="000000"/>
                <w:sz w:val="16"/>
                <w:szCs w:val="18"/>
              </w:rPr>
              <w:t>).</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Wykorzystanie dróg wodnych, w szczególności Odry do żeglugi turystycznej i pasażerskiej oraz transportu wodnego.</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after="120"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FD0968">
            <w:pPr>
              <w:pStyle w:val="Bezodstpw"/>
              <w:spacing w:after="120" w:line="360" w:lineRule="auto"/>
              <w:jc w:val="both"/>
              <w:rPr>
                <w:rFonts w:cs="Calibri"/>
                <w:color w:val="000000"/>
                <w:sz w:val="16"/>
                <w:szCs w:val="18"/>
              </w:rPr>
            </w:pPr>
            <w:r w:rsidRPr="00AE35C1">
              <w:rPr>
                <w:rFonts w:cs="Calibri"/>
                <w:color w:val="000000"/>
                <w:sz w:val="16"/>
                <w:szCs w:val="18"/>
              </w:rPr>
              <w:t>Rozwój sieci dróg rowerowych.</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D860D6" w:rsidRPr="00AE35C1" w:rsidRDefault="00D860D6" w:rsidP="00FD0968">
            <w:pPr>
              <w:pStyle w:val="Akapitzlist"/>
              <w:numPr>
                <w:ilvl w:val="1"/>
                <w:numId w:val="5"/>
              </w:numPr>
              <w:suppressAutoHyphens/>
              <w:spacing w:after="0" w:line="360" w:lineRule="auto"/>
              <w:ind w:left="-108" w:firstLine="0"/>
              <w:jc w:val="both"/>
              <w:rPr>
                <w:rFonts w:cs="Calibri"/>
                <w:b/>
                <w:color w:val="000000"/>
                <w:sz w:val="18"/>
                <w:szCs w:val="20"/>
              </w:rPr>
            </w:pPr>
          </w:p>
        </w:tc>
        <w:tc>
          <w:tcPr>
            <w:tcW w:w="2675" w:type="dxa"/>
            <w:vMerge w:val="restart"/>
            <w:tcBorders>
              <w:left w:val="nil"/>
            </w:tcBorders>
            <w:shd w:val="clear" w:color="auto" w:fill="BFBFBF"/>
          </w:tcPr>
          <w:p w:rsidR="00D860D6" w:rsidRPr="00AE35C1" w:rsidRDefault="00D860D6" w:rsidP="00FD0968">
            <w:pPr>
              <w:pStyle w:val="Akapitzlist"/>
              <w:suppressAutoHyphens/>
              <w:spacing w:after="0" w:line="360" w:lineRule="auto"/>
              <w:ind w:left="34"/>
              <w:rPr>
                <w:rFonts w:cs="Calibri"/>
                <w:b/>
                <w:color w:val="000000"/>
                <w:sz w:val="18"/>
                <w:szCs w:val="20"/>
              </w:rPr>
            </w:pPr>
            <w:r w:rsidRPr="00AE35C1">
              <w:rPr>
                <w:rFonts w:cs="Calibri"/>
                <w:b/>
                <w:color w:val="000000"/>
                <w:sz w:val="18"/>
                <w:szCs w:val="20"/>
              </w:rPr>
              <w:t xml:space="preserve">Wzrost dostępności regionalnej infrastruktury informacyjnej </w:t>
            </w:r>
            <w:r w:rsidR="00DC2EC5" w:rsidRPr="00AE35C1">
              <w:rPr>
                <w:rFonts w:cs="Calibri"/>
                <w:b/>
                <w:color w:val="000000"/>
                <w:sz w:val="18"/>
                <w:szCs w:val="20"/>
              </w:rPr>
              <w:br/>
            </w:r>
            <w:r w:rsidRPr="00AE35C1">
              <w:rPr>
                <w:rFonts w:cs="Calibri"/>
                <w:b/>
                <w:color w:val="000000"/>
                <w:sz w:val="18"/>
                <w:szCs w:val="20"/>
              </w:rPr>
              <w:t>o wysokich standardach funkcjonalno-użytkowych</w:t>
            </w: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 xml:space="preserve">Rozbudowa Dolnośląskiej Sieci Szkieletowej w zakresie dostępności </w:t>
            </w:r>
            <w:proofErr w:type="spellStart"/>
            <w:r w:rsidRPr="00AE35C1">
              <w:rPr>
                <w:rFonts w:cs="Calibri"/>
                <w:color w:val="000000"/>
                <w:sz w:val="16"/>
                <w:szCs w:val="18"/>
              </w:rPr>
              <w:t>internetu</w:t>
            </w:r>
            <w:proofErr w:type="spellEnd"/>
            <w:r w:rsidRPr="00AE35C1">
              <w:rPr>
                <w:rFonts w:cs="Calibri"/>
                <w:color w:val="000000"/>
                <w:sz w:val="16"/>
                <w:szCs w:val="18"/>
              </w:rPr>
              <w:t xml:space="preserve"> w każdym gospodarstwie domowym.</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ind w:left="-108"/>
              <w:jc w:val="both"/>
              <w:rPr>
                <w:b/>
                <w:color w:val="404040"/>
                <w:sz w:val="18"/>
                <w:szCs w:val="20"/>
              </w:rPr>
            </w:pPr>
          </w:p>
        </w:tc>
        <w:tc>
          <w:tcPr>
            <w:tcW w:w="2675" w:type="dxa"/>
            <w:vMerge/>
            <w:tcBorders>
              <w:left w:val="nil"/>
            </w:tcBorders>
            <w:shd w:val="clear" w:color="auto" w:fill="BFBFBF"/>
          </w:tcPr>
          <w:p w:rsidR="00D860D6" w:rsidRPr="00AE35C1" w:rsidRDefault="00D860D6" w:rsidP="00FD0968">
            <w:pPr>
              <w:suppressAutoHyphens/>
              <w:spacing w:after="0" w:line="360" w:lineRule="auto"/>
              <w:ind w:left="34"/>
              <w:rPr>
                <w:b/>
                <w:color w:val="404040"/>
                <w:sz w:val="18"/>
                <w:szCs w:val="20"/>
              </w:rPr>
            </w:pP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after="120"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FD0968">
            <w:pPr>
              <w:pStyle w:val="Bezodstpw"/>
              <w:spacing w:after="120" w:line="360" w:lineRule="auto"/>
              <w:rPr>
                <w:rFonts w:cs="Calibri"/>
                <w:color w:val="000000"/>
                <w:sz w:val="16"/>
                <w:szCs w:val="18"/>
              </w:rPr>
            </w:pPr>
            <w:r w:rsidRPr="00AE35C1">
              <w:rPr>
                <w:rFonts w:cs="Calibri"/>
                <w:color w:val="000000"/>
                <w:sz w:val="16"/>
                <w:szCs w:val="18"/>
              </w:rPr>
              <w:t>Rozwój Dolnośląskiej Infrastruktury Informacji Przestrzennej w zakresie zwiększenia dostępno</w:t>
            </w:r>
            <w:r w:rsidR="00656B2D" w:rsidRPr="00AE35C1">
              <w:rPr>
                <w:rFonts w:cs="Calibri"/>
                <w:color w:val="000000"/>
                <w:sz w:val="16"/>
                <w:szCs w:val="18"/>
              </w:rPr>
              <w:t>ści do zasobów informacyjnych o </w:t>
            </w:r>
            <w:r w:rsidRPr="00AE35C1">
              <w:rPr>
                <w:rFonts w:cs="Calibri"/>
                <w:color w:val="000000"/>
                <w:sz w:val="16"/>
                <w:szCs w:val="18"/>
              </w:rPr>
              <w:t>regionie.</w:t>
            </w:r>
          </w:p>
        </w:tc>
      </w:tr>
      <w:tr w:rsidR="001A3B8F" w:rsidRPr="00AE35C1" w:rsidTr="000F375E">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val="restart"/>
            <w:tcBorders>
              <w:right w:val="nil"/>
            </w:tcBorders>
            <w:shd w:val="clear" w:color="auto" w:fill="BFBFBF"/>
          </w:tcPr>
          <w:p w:rsidR="00D860D6" w:rsidRPr="00AE35C1" w:rsidRDefault="00D860D6" w:rsidP="00FD0968">
            <w:pPr>
              <w:pStyle w:val="Akapitzlist"/>
              <w:numPr>
                <w:ilvl w:val="1"/>
                <w:numId w:val="5"/>
              </w:numPr>
              <w:suppressAutoHyphens/>
              <w:spacing w:after="0" w:line="360" w:lineRule="auto"/>
              <w:ind w:left="-108" w:firstLine="0"/>
              <w:jc w:val="both"/>
              <w:rPr>
                <w:rFonts w:cs="Calibri"/>
                <w:b/>
                <w:color w:val="000000"/>
                <w:sz w:val="18"/>
                <w:szCs w:val="20"/>
              </w:rPr>
            </w:pPr>
          </w:p>
        </w:tc>
        <w:tc>
          <w:tcPr>
            <w:tcW w:w="2675" w:type="dxa"/>
            <w:vMerge w:val="restart"/>
            <w:tcBorders>
              <w:left w:val="nil"/>
            </w:tcBorders>
            <w:shd w:val="clear" w:color="auto" w:fill="BFBFBF"/>
          </w:tcPr>
          <w:p w:rsidR="00D860D6" w:rsidRPr="00AE35C1" w:rsidRDefault="00D860D6" w:rsidP="00FD0968">
            <w:pPr>
              <w:pStyle w:val="Akapitzlist"/>
              <w:suppressAutoHyphens/>
              <w:spacing w:after="0" w:line="360" w:lineRule="auto"/>
              <w:ind w:left="34"/>
              <w:rPr>
                <w:rFonts w:cs="Calibri"/>
                <w:b/>
                <w:color w:val="000000"/>
                <w:sz w:val="18"/>
                <w:szCs w:val="20"/>
              </w:rPr>
            </w:pPr>
            <w:r w:rsidRPr="00AE35C1">
              <w:rPr>
                <w:rFonts w:cs="Calibri"/>
                <w:b/>
                <w:color w:val="000000"/>
                <w:sz w:val="18"/>
                <w:szCs w:val="20"/>
              </w:rPr>
              <w:t xml:space="preserve">Wspieranie współpracy międzyregionalnej </w:t>
            </w:r>
            <w:r w:rsidR="00DC2EC5" w:rsidRPr="00AE35C1">
              <w:rPr>
                <w:rFonts w:cs="Calibri"/>
                <w:b/>
                <w:color w:val="000000"/>
                <w:sz w:val="18"/>
                <w:szCs w:val="20"/>
              </w:rPr>
              <w:br/>
            </w:r>
            <w:r w:rsidRPr="00AE35C1">
              <w:rPr>
                <w:rFonts w:cs="Calibri"/>
                <w:b/>
                <w:color w:val="000000"/>
                <w:sz w:val="18"/>
                <w:szCs w:val="20"/>
              </w:rPr>
              <w:t>i transgranicznej</w:t>
            </w: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Rozwój współpracy międzyregionalnej.</w:t>
            </w:r>
          </w:p>
        </w:tc>
      </w:tr>
      <w:tr w:rsidR="001A3B8F" w:rsidRPr="00AE35C1" w:rsidTr="000F375E">
        <w:trPr>
          <w:trHeight w:val="395"/>
        </w:trPr>
        <w:tc>
          <w:tcPr>
            <w:tcW w:w="421" w:type="dxa"/>
            <w:vMerge/>
            <w:tcBorders>
              <w:righ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1134" w:type="dxa"/>
            <w:vMerge/>
            <w:tcBorders>
              <w:left w:val="nil"/>
            </w:tcBorders>
            <w:shd w:val="clear" w:color="auto" w:fill="A6A6A6"/>
          </w:tcPr>
          <w:p w:rsidR="00D860D6" w:rsidRPr="00AE35C1" w:rsidRDefault="00D860D6" w:rsidP="00FD0968">
            <w:pPr>
              <w:suppressAutoHyphens/>
              <w:spacing w:after="0" w:line="360" w:lineRule="auto"/>
              <w:ind w:left="-23"/>
              <w:jc w:val="both"/>
              <w:rPr>
                <w:b/>
                <w:sz w:val="21"/>
                <w:szCs w:val="21"/>
              </w:rPr>
            </w:pPr>
          </w:p>
        </w:tc>
        <w:tc>
          <w:tcPr>
            <w:tcW w:w="283" w:type="dxa"/>
            <w:vMerge/>
            <w:tcBorders>
              <w:right w:val="nil"/>
            </w:tcBorders>
            <w:shd w:val="clear" w:color="auto" w:fill="BFBFBF"/>
          </w:tcPr>
          <w:p w:rsidR="00D860D6" w:rsidRPr="00AE35C1" w:rsidRDefault="00D860D6" w:rsidP="00FD0968">
            <w:pPr>
              <w:suppressAutoHyphens/>
              <w:spacing w:after="0" w:line="360" w:lineRule="auto"/>
              <w:jc w:val="both"/>
              <w:rPr>
                <w:rFonts w:cs="Calibri"/>
                <w:b/>
                <w:color w:val="000000"/>
                <w:sz w:val="21"/>
                <w:szCs w:val="21"/>
              </w:rPr>
            </w:pPr>
          </w:p>
        </w:tc>
        <w:tc>
          <w:tcPr>
            <w:tcW w:w="2675" w:type="dxa"/>
            <w:vMerge/>
            <w:tcBorders>
              <w:left w:val="nil"/>
            </w:tcBorders>
            <w:shd w:val="clear" w:color="auto" w:fill="BFBFBF"/>
          </w:tcPr>
          <w:p w:rsidR="00D860D6" w:rsidRPr="00AE35C1" w:rsidRDefault="00D860D6" w:rsidP="00FD0968">
            <w:pPr>
              <w:suppressAutoHyphens/>
              <w:spacing w:after="0" w:line="360" w:lineRule="auto"/>
              <w:jc w:val="both"/>
              <w:rPr>
                <w:rFonts w:cs="Calibri"/>
                <w:b/>
                <w:color w:val="000000"/>
                <w:sz w:val="21"/>
                <w:szCs w:val="21"/>
              </w:rPr>
            </w:pPr>
          </w:p>
        </w:tc>
        <w:tc>
          <w:tcPr>
            <w:tcW w:w="585" w:type="dxa"/>
            <w:gridSpan w:val="2"/>
            <w:tcBorders>
              <w:right w:val="nil"/>
            </w:tcBorders>
            <w:shd w:val="clear" w:color="auto" w:fill="D9D9D9"/>
          </w:tcPr>
          <w:p w:rsidR="00D860D6" w:rsidRPr="00AE35C1" w:rsidRDefault="00D860D6" w:rsidP="00FD0968">
            <w:pPr>
              <w:pStyle w:val="Bezodstpw"/>
              <w:numPr>
                <w:ilvl w:val="2"/>
                <w:numId w:val="5"/>
              </w:numPr>
              <w:spacing w:line="360" w:lineRule="auto"/>
              <w:ind w:left="0" w:firstLine="0"/>
              <w:jc w:val="both"/>
              <w:rPr>
                <w:rFonts w:cs="Calibri"/>
                <w:color w:val="000000"/>
                <w:sz w:val="16"/>
                <w:szCs w:val="18"/>
              </w:rPr>
            </w:pPr>
          </w:p>
        </w:tc>
        <w:tc>
          <w:tcPr>
            <w:tcW w:w="10070" w:type="dxa"/>
            <w:gridSpan w:val="2"/>
            <w:tcBorders>
              <w:left w:val="nil"/>
            </w:tcBorders>
            <w:shd w:val="clear" w:color="auto" w:fill="D9D9D9"/>
          </w:tcPr>
          <w:p w:rsidR="00D860D6" w:rsidRPr="00AE35C1" w:rsidRDefault="00D860D6" w:rsidP="00FD0968">
            <w:pPr>
              <w:pStyle w:val="Bezodstpw"/>
              <w:spacing w:line="360" w:lineRule="auto"/>
              <w:jc w:val="both"/>
              <w:rPr>
                <w:rFonts w:cs="Calibri"/>
                <w:color w:val="000000"/>
                <w:sz w:val="16"/>
                <w:szCs w:val="18"/>
              </w:rPr>
            </w:pPr>
            <w:r w:rsidRPr="00AE35C1">
              <w:rPr>
                <w:rFonts w:cs="Calibri"/>
                <w:color w:val="000000"/>
                <w:sz w:val="16"/>
                <w:szCs w:val="18"/>
              </w:rPr>
              <w:t>Rozwój współpracy transgranicznej.</w:t>
            </w:r>
          </w:p>
        </w:tc>
      </w:tr>
    </w:tbl>
    <w:p w:rsidR="008C41B7" w:rsidRPr="00AE35C1" w:rsidRDefault="008C41B7" w:rsidP="005F49A2">
      <w:pPr>
        <w:pStyle w:val="Bezodstpw"/>
        <w:spacing w:line="288" w:lineRule="auto"/>
        <w:jc w:val="both"/>
        <w:rPr>
          <w:rFonts w:cs="Calibri"/>
          <w:color w:val="000000"/>
          <w:sz w:val="21"/>
          <w:szCs w:val="21"/>
        </w:rPr>
      </w:pPr>
    </w:p>
    <w:p w:rsidR="00EC545F" w:rsidRPr="00AE35C1" w:rsidRDefault="00EC545F" w:rsidP="005F49A2">
      <w:pPr>
        <w:pStyle w:val="Bezodstpw"/>
        <w:spacing w:line="288" w:lineRule="auto"/>
        <w:jc w:val="both"/>
        <w:rPr>
          <w:rFonts w:cs="Calibri"/>
          <w:color w:val="000000"/>
          <w:sz w:val="21"/>
          <w:szCs w:val="21"/>
        </w:rPr>
        <w:sectPr w:rsidR="00EC545F" w:rsidRPr="00AE35C1" w:rsidSect="000F375E">
          <w:pgSz w:w="16838" w:h="11906" w:orient="landscape"/>
          <w:pgMar w:top="1134" w:right="1417" w:bottom="851" w:left="1417" w:header="708" w:footer="708" w:gutter="0"/>
          <w:cols w:space="708"/>
          <w:titlePg/>
          <w:docGrid w:linePitch="360"/>
        </w:sectPr>
      </w:pPr>
    </w:p>
    <w:p w:rsidR="00EC545F" w:rsidRPr="00AE35C1" w:rsidRDefault="00641928" w:rsidP="00263DB8">
      <w:pPr>
        <w:pStyle w:val="Nagwek1"/>
        <w:spacing w:before="800"/>
      </w:pPr>
      <w:bookmarkStart w:id="57" w:name="_Toc511716323"/>
      <w:r w:rsidRPr="00AE35C1">
        <w:lastRenderedPageBreak/>
        <w:t>4</w:t>
      </w:r>
      <w:r w:rsidR="00BB5010" w:rsidRPr="00AE35C1">
        <w:t>.</w:t>
      </w:r>
      <w:r w:rsidR="00EC545F" w:rsidRPr="00AE35C1">
        <w:t xml:space="preserve"> Terytorialny wymiar polityki rozwoju</w:t>
      </w:r>
      <w:bookmarkEnd w:id="57"/>
      <w:r w:rsidR="00EC545F" w:rsidRPr="00AE35C1">
        <w:t xml:space="preserve"> </w:t>
      </w:r>
    </w:p>
    <w:p w:rsidR="00EC545F" w:rsidRPr="00AE35C1" w:rsidRDefault="00EC545F" w:rsidP="005F49A2">
      <w:pPr>
        <w:spacing w:line="288" w:lineRule="auto"/>
        <w:jc w:val="both"/>
        <w:rPr>
          <w:rFonts w:cs="Calibri"/>
          <w:color w:val="000000"/>
          <w:sz w:val="21"/>
          <w:szCs w:val="21"/>
        </w:rPr>
      </w:pPr>
      <w:r w:rsidRPr="00AE35C1">
        <w:rPr>
          <w:rFonts w:cs="Calibri"/>
          <w:color w:val="000000"/>
          <w:sz w:val="21"/>
          <w:szCs w:val="21"/>
        </w:rPr>
        <w:t>Strategia Rozwoju Województwa Dolnośląskiego 2030 podchodzi w sposób zintegrowany do określania kierunków rozwoju województwa. Podejście to w spójny sposób uwzględnia politykę społeczno-gospodarczą oraz przestrzenną. Dokument</w:t>
      </w:r>
      <w:r w:rsidR="000D32AA" w:rsidRPr="00AE35C1">
        <w:rPr>
          <w:rFonts w:cs="Calibri"/>
          <w:color w:val="000000"/>
          <w:sz w:val="21"/>
          <w:szCs w:val="21"/>
        </w:rPr>
        <w:t xml:space="preserve"> </w:t>
      </w:r>
      <w:r w:rsidRPr="00AE35C1">
        <w:rPr>
          <w:rFonts w:cs="Calibri"/>
          <w:color w:val="000000"/>
          <w:sz w:val="21"/>
          <w:szCs w:val="21"/>
        </w:rPr>
        <w:t xml:space="preserve">jest zgodny </w:t>
      </w:r>
      <w:r w:rsidR="00C038BA" w:rsidRPr="00AE35C1">
        <w:rPr>
          <w:rFonts w:cs="Calibri"/>
          <w:color w:val="000000"/>
          <w:sz w:val="21"/>
          <w:szCs w:val="21"/>
        </w:rPr>
        <w:t xml:space="preserve">w wymiarze terytorialnym </w:t>
      </w:r>
      <w:r w:rsidRPr="00AE35C1">
        <w:rPr>
          <w:rFonts w:cs="Calibri"/>
          <w:color w:val="000000"/>
          <w:sz w:val="21"/>
          <w:szCs w:val="21"/>
        </w:rPr>
        <w:t>z przyjętymi kierunkami rozwoju określonymi w Planie Zagospodarowania Przestrzennego Województwa Dolnośląskiego 2030. Terytorialny wym</w:t>
      </w:r>
      <w:r w:rsidR="000666B0" w:rsidRPr="00AE35C1">
        <w:rPr>
          <w:rFonts w:cs="Calibri"/>
          <w:color w:val="000000"/>
          <w:sz w:val="21"/>
          <w:szCs w:val="21"/>
        </w:rPr>
        <w:t xml:space="preserve">iar polityki rozwoju polega na </w:t>
      </w:r>
      <w:r w:rsidRPr="00AE35C1">
        <w:rPr>
          <w:rFonts w:cs="Calibri"/>
          <w:color w:val="000000"/>
          <w:sz w:val="21"/>
          <w:szCs w:val="21"/>
        </w:rPr>
        <w:t>wskazaniu na terenie województwa interwencji skierowanej z poziomu krajowego oraz regionalnego. Strategia Rozwoju Województwa Dolnośląskiego 2030 zakłada dwa wymiary terytorialne interwencji publicznej: hory</w:t>
      </w:r>
      <w:r w:rsidR="008B2CF8" w:rsidRPr="00AE35C1">
        <w:rPr>
          <w:rFonts w:cs="Calibri"/>
          <w:color w:val="000000"/>
          <w:sz w:val="21"/>
          <w:szCs w:val="21"/>
        </w:rPr>
        <w:t>zontalny oraz obszarowy. Wymiar </w:t>
      </w:r>
      <w:r w:rsidRPr="00AE35C1">
        <w:rPr>
          <w:rFonts w:cs="Calibri"/>
          <w:color w:val="000000"/>
          <w:sz w:val="21"/>
          <w:szCs w:val="21"/>
        </w:rPr>
        <w:t>horyzontalny obejmuje działania strategiczne, których specyfika i zdiagnozowany zakres oddziaływania nie cechuje się koncentracją terytorialną i realizowany jest przez samorząd województwa na obszarze całego województwa w oparciu o</w:t>
      </w:r>
      <w:r w:rsidR="0008799C" w:rsidRPr="00AE35C1">
        <w:rPr>
          <w:rFonts w:cs="Calibri"/>
          <w:color w:val="000000"/>
          <w:sz w:val="21"/>
          <w:szCs w:val="21"/>
        </w:rPr>
        <w:t> </w:t>
      </w:r>
      <w:r w:rsidRPr="00AE35C1">
        <w:rPr>
          <w:rFonts w:cs="Calibri"/>
          <w:color w:val="000000"/>
          <w:sz w:val="21"/>
          <w:szCs w:val="21"/>
        </w:rPr>
        <w:t>określone kryteria. Wymiar</w:t>
      </w:r>
      <w:r w:rsidRPr="00AE35C1">
        <w:rPr>
          <w:rFonts w:cs="Calibri"/>
          <w:b/>
          <w:color w:val="000000"/>
          <w:sz w:val="21"/>
          <w:szCs w:val="21"/>
        </w:rPr>
        <w:t xml:space="preserve"> </w:t>
      </w:r>
      <w:r w:rsidRPr="00AE35C1">
        <w:rPr>
          <w:rFonts w:cs="Calibri"/>
          <w:color w:val="000000"/>
          <w:sz w:val="21"/>
          <w:szCs w:val="21"/>
        </w:rPr>
        <w:t xml:space="preserve">obszarowy obejmuje natomiast działania strategiczne ukierunkowane terytorialnie − skierowane do konkretnych obszarów województwa − Obszarów Strategicznej Interwencji (OSI), w których zdiagnozowano koncentrację </w:t>
      </w:r>
      <w:r w:rsidR="00625740" w:rsidRPr="00AE35C1">
        <w:rPr>
          <w:rFonts w:cs="Calibri"/>
          <w:color w:val="000000"/>
          <w:sz w:val="21"/>
          <w:szCs w:val="21"/>
        </w:rPr>
        <w:t>zjawisk szczególnie istotnych z </w:t>
      </w:r>
      <w:r w:rsidRPr="00AE35C1">
        <w:rPr>
          <w:rFonts w:cs="Calibri"/>
          <w:color w:val="000000"/>
          <w:sz w:val="21"/>
          <w:szCs w:val="21"/>
        </w:rPr>
        <w:t>punktu widzenia realizacji regionalnej polityki rozwoju. Obszary te odzwierciedlaj</w:t>
      </w:r>
      <w:r w:rsidR="008B2CF8" w:rsidRPr="00AE35C1">
        <w:rPr>
          <w:rFonts w:cs="Calibri"/>
          <w:color w:val="000000"/>
          <w:sz w:val="21"/>
          <w:szCs w:val="21"/>
        </w:rPr>
        <w:t>ą potencjały i </w:t>
      </w:r>
      <w:r w:rsidRPr="00AE35C1">
        <w:rPr>
          <w:rFonts w:cs="Calibri"/>
          <w:color w:val="000000"/>
          <w:sz w:val="21"/>
          <w:szCs w:val="21"/>
        </w:rPr>
        <w:t>problemy rozwojowe w układzie terytorialnym, które będą przedmiotem zainteresowania Strategii. Obejmują one zarówno obszary o</w:t>
      </w:r>
      <w:r w:rsidR="0008799C" w:rsidRPr="00AE35C1">
        <w:rPr>
          <w:rFonts w:cs="Calibri"/>
          <w:color w:val="000000"/>
          <w:sz w:val="21"/>
          <w:szCs w:val="21"/>
        </w:rPr>
        <w:t> </w:t>
      </w:r>
      <w:r w:rsidRPr="00AE35C1">
        <w:rPr>
          <w:rFonts w:cs="Calibri"/>
          <w:color w:val="000000"/>
          <w:sz w:val="21"/>
          <w:szCs w:val="21"/>
        </w:rPr>
        <w:t>szczególnym potencjale rozwojowym, jak i te, które wymagają troski ze względu na występujące zapóźnienia. Konsekwencją wyznaczenia OSI b</w:t>
      </w:r>
      <w:r w:rsidR="008B2CF8" w:rsidRPr="00AE35C1">
        <w:rPr>
          <w:rFonts w:cs="Calibri"/>
          <w:color w:val="000000"/>
          <w:sz w:val="21"/>
          <w:szCs w:val="21"/>
        </w:rPr>
        <w:t>ędzie terytorialne podejście do </w:t>
      </w:r>
      <w:r w:rsidRPr="00AE35C1">
        <w:rPr>
          <w:rFonts w:cs="Calibri"/>
          <w:color w:val="000000"/>
          <w:sz w:val="21"/>
          <w:szCs w:val="21"/>
        </w:rPr>
        <w:t xml:space="preserve">Programów Operacyjnych realizowanych przez Samorząd Województwa Dolnośląskiego. W związku z długookresowym wymiarem SRWD 2030 proces wdrażania będzie obejmował ewaluację zakresu przestrzennego OSI.  </w:t>
      </w:r>
    </w:p>
    <w:p w:rsidR="00EC545F" w:rsidRPr="00AE35C1" w:rsidRDefault="00641928" w:rsidP="00BB5010">
      <w:pPr>
        <w:pStyle w:val="Nagwek2"/>
        <w:spacing w:before="300"/>
      </w:pPr>
      <w:bookmarkStart w:id="58" w:name="_Toc511716324"/>
      <w:r w:rsidRPr="00AE35C1">
        <w:t>4.1</w:t>
      </w:r>
      <w:r w:rsidR="00EC545F" w:rsidRPr="00AE35C1">
        <w:t xml:space="preserve"> POZIOM KRAJOWY</w:t>
      </w:r>
      <w:bookmarkEnd w:id="58"/>
    </w:p>
    <w:p w:rsidR="00EC545F" w:rsidRPr="00AE35C1" w:rsidRDefault="00EC545F" w:rsidP="00DF2BF2">
      <w:pPr>
        <w:spacing w:after="60" w:line="288" w:lineRule="auto"/>
        <w:jc w:val="both"/>
        <w:rPr>
          <w:rFonts w:cs="Calibri"/>
          <w:color w:val="000000"/>
          <w:sz w:val="21"/>
          <w:szCs w:val="21"/>
        </w:rPr>
      </w:pPr>
      <w:r w:rsidRPr="00AE35C1">
        <w:rPr>
          <w:rFonts w:cs="Calibri"/>
          <w:b/>
          <w:color w:val="000000"/>
          <w:sz w:val="21"/>
          <w:szCs w:val="21"/>
        </w:rPr>
        <w:t>Wyzwania rozwojowe miast</w:t>
      </w:r>
      <w:r w:rsidR="00DF2BF2" w:rsidRPr="00AE35C1">
        <w:rPr>
          <w:rFonts w:cs="Calibri"/>
          <w:b/>
          <w:color w:val="000000"/>
          <w:sz w:val="21"/>
          <w:szCs w:val="21"/>
        </w:rPr>
        <w:t xml:space="preserve">. </w:t>
      </w:r>
      <w:r w:rsidRPr="00AE35C1">
        <w:rPr>
          <w:rFonts w:cs="Calibri"/>
          <w:i/>
          <w:color w:val="000000"/>
          <w:sz w:val="21"/>
          <w:szCs w:val="21"/>
        </w:rPr>
        <w:t>Strategia na rzecz Odpowiedzialnego Rozwoju do roku 2020 (z perspektywą do 2030 r.)</w:t>
      </w:r>
      <w:r w:rsidRPr="00AE35C1">
        <w:rPr>
          <w:rFonts w:cs="Calibri"/>
          <w:color w:val="000000"/>
          <w:sz w:val="21"/>
          <w:szCs w:val="21"/>
        </w:rPr>
        <w:t xml:space="preserve"> </w:t>
      </w:r>
      <w:r w:rsidRPr="00AE35C1">
        <w:rPr>
          <w:rFonts w:cs="Calibri"/>
          <w:i/>
          <w:color w:val="000000"/>
          <w:sz w:val="21"/>
          <w:szCs w:val="21"/>
        </w:rPr>
        <w:t>(SOR)</w:t>
      </w:r>
      <w:r w:rsidRPr="00AE35C1">
        <w:rPr>
          <w:rFonts w:cs="Calibri"/>
          <w:color w:val="000000"/>
          <w:sz w:val="21"/>
          <w:szCs w:val="21"/>
        </w:rPr>
        <w:t xml:space="preserve"> wskazuje miejsca kumulacji problemów rozwojowych </w:t>
      </w:r>
      <w:r w:rsidR="008B2CF8" w:rsidRPr="00AE35C1">
        <w:rPr>
          <w:rFonts w:cs="Calibri"/>
          <w:color w:val="000000"/>
          <w:sz w:val="21"/>
          <w:szCs w:val="21"/>
        </w:rPr>
        <w:t>zaznaczające się szczególnie na </w:t>
      </w:r>
      <w:r w:rsidRPr="00AE35C1">
        <w:rPr>
          <w:rFonts w:cs="Calibri"/>
          <w:color w:val="000000"/>
          <w:sz w:val="21"/>
          <w:szCs w:val="21"/>
        </w:rPr>
        <w:t>terenie małych i średnich miast. Spośród 122 miast średnich w kraju (powyżej 20 tys. mieszkańców i powyżej 15 tys. mieszkańców ośrodki powiatowe, z wyłączeniem miast wojewódzkich) podlegających procesom degradacji i wymagających rewitalizacji, na teren</w:t>
      </w:r>
      <w:r w:rsidR="00625740" w:rsidRPr="00AE35C1">
        <w:rPr>
          <w:rFonts w:cs="Calibri"/>
          <w:color w:val="000000"/>
          <w:sz w:val="21"/>
          <w:szCs w:val="21"/>
        </w:rPr>
        <w:t>ie województwa dolnośląskiego w </w:t>
      </w:r>
      <w:r w:rsidRPr="00AE35C1">
        <w:rPr>
          <w:rFonts w:cs="Calibri"/>
          <w:color w:val="000000"/>
          <w:sz w:val="21"/>
          <w:szCs w:val="21"/>
        </w:rPr>
        <w:t>SOR zidentyfikowanych zostało 14 ośrodków zagrożonych utratą funkcji społeczno-gospodarczych, które będą przedmiotem interwencji państwa. Najsilniejszą utratą funkcji oraz niekorzystną sytuacją społeczno-gospodarczą odznaczają się Jelenia Góra oraz Wałbrzych. Niekorzystną sytuację zaobserwowano</w:t>
      </w:r>
      <w:r w:rsidR="000666B0" w:rsidRPr="00AE35C1">
        <w:rPr>
          <w:rFonts w:cs="Calibri"/>
          <w:color w:val="000000"/>
          <w:sz w:val="21"/>
          <w:szCs w:val="21"/>
        </w:rPr>
        <w:t xml:space="preserve"> również w </w:t>
      </w:r>
      <w:r w:rsidRPr="00AE35C1">
        <w:rPr>
          <w:rFonts w:cs="Calibri"/>
          <w:color w:val="000000"/>
          <w:sz w:val="21"/>
          <w:szCs w:val="21"/>
        </w:rPr>
        <w:t>następujących miastach: Kamienna Góra, Ząbkowice Śląskie, Nowa Rud</w:t>
      </w:r>
      <w:r w:rsidR="008B2CF8" w:rsidRPr="00AE35C1">
        <w:rPr>
          <w:rFonts w:cs="Calibri"/>
          <w:color w:val="000000"/>
          <w:sz w:val="21"/>
          <w:szCs w:val="21"/>
        </w:rPr>
        <w:t>a, Kłodzko, Bielawa, Lubań oraz </w:t>
      </w:r>
      <w:r w:rsidRPr="00AE35C1">
        <w:rPr>
          <w:rFonts w:cs="Calibri"/>
          <w:color w:val="000000"/>
          <w:sz w:val="21"/>
          <w:szCs w:val="21"/>
        </w:rPr>
        <w:t>Zgorzelec, Dzierżoniów, Jawor</w:t>
      </w:r>
      <w:r w:rsidR="00E456F7">
        <w:rPr>
          <w:rFonts w:cs="Calibri"/>
          <w:color w:val="000000"/>
          <w:sz w:val="21"/>
          <w:szCs w:val="21"/>
        </w:rPr>
        <w:t>,</w:t>
      </w:r>
      <w:r w:rsidRPr="00AE35C1">
        <w:rPr>
          <w:rFonts w:cs="Calibri"/>
          <w:color w:val="000000"/>
          <w:sz w:val="21"/>
          <w:szCs w:val="21"/>
        </w:rPr>
        <w:t xml:space="preserve"> Bolesławiec</w:t>
      </w:r>
      <w:r w:rsidR="00E456F7">
        <w:rPr>
          <w:rFonts w:cs="Calibri"/>
          <w:color w:val="000000"/>
          <w:sz w:val="21"/>
          <w:szCs w:val="21"/>
        </w:rPr>
        <w:t>, Świebodzice i Złotoryja</w:t>
      </w:r>
      <w:r w:rsidRPr="00AE35C1">
        <w:rPr>
          <w:rFonts w:cs="Calibri"/>
          <w:color w:val="000000"/>
          <w:sz w:val="21"/>
          <w:szCs w:val="21"/>
        </w:rPr>
        <w:t xml:space="preserve">. W ośrodkach tych następuje osłabienie ich znaczenia społeczno-gospodarczego. W miastach </w:t>
      </w:r>
      <w:r w:rsidR="0027279D" w:rsidRPr="00AE35C1">
        <w:rPr>
          <w:rFonts w:cs="Calibri"/>
          <w:color w:val="000000"/>
          <w:sz w:val="21"/>
          <w:szCs w:val="21"/>
        </w:rPr>
        <w:t>tych</w:t>
      </w:r>
      <w:r w:rsidRPr="00AE35C1">
        <w:rPr>
          <w:rFonts w:cs="Calibri"/>
          <w:color w:val="000000"/>
          <w:sz w:val="21"/>
          <w:szCs w:val="21"/>
        </w:rPr>
        <w:t xml:space="preserve"> obserwuje się  problemy rozwojowe związane są ze spadkiem liczby ludności (zwłaszcza wykształconej, w wieku produkcyjnym), starzeniem się populacji, niedopasowaniem podaży do popytu na rynku pracy, osłabieniem bazy ekonomiczno-budżetowej samorządów oraz z niewystarczającą dostępnością transportową (w tym powiązaniami transportem zbiorowym z innymi miastami i regionami). Według prognozy demograficznej GUS najintensywniejszym procesom kurczenia będą podlegały miasta w podregionach wałbrzyskim, jeleniogórskim i legnicko-głogowskim. Spadek liczby mieszkańców dotyczyć będzie przede wszystkim mieszkańców największych miast (Jelenia Góra, Lubin, Wałbrzych). Na tym tle korzystną sytuacją demograficzną będą charakteryzować się miasta podregionu wrocławskiego, w których w większości wystąpi mniej lub bardziej znaczący wzrost liczby mieszkańców. Przewiduje się, że największy wzrost </w:t>
      </w:r>
      <w:r w:rsidRPr="00AE35C1">
        <w:rPr>
          <w:rFonts w:cs="Calibri"/>
          <w:color w:val="000000"/>
          <w:sz w:val="21"/>
          <w:szCs w:val="21"/>
        </w:rPr>
        <w:lastRenderedPageBreak/>
        <w:t>zaludnienia nastąpi w miastach położonych w</w:t>
      </w:r>
      <w:r w:rsidR="00DF2BF2" w:rsidRPr="00AE35C1">
        <w:rPr>
          <w:rFonts w:cs="Calibri"/>
          <w:color w:val="000000"/>
          <w:sz w:val="21"/>
          <w:szCs w:val="21"/>
        </w:rPr>
        <w:t> </w:t>
      </w:r>
      <w:r w:rsidRPr="00AE35C1">
        <w:rPr>
          <w:rFonts w:cs="Calibri"/>
          <w:color w:val="000000"/>
          <w:sz w:val="21"/>
          <w:szCs w:val="21"/>
        </w:rPr>
        <w:t xml:space="preserve">strefie podmiejskiej Wrocławia: Siechnicach i Kątach Wrocławskich. </w:t>
      </w:r>
    </w:p>
    <w:p w:rsidR="00EC545F" w:rsidRPr="00AE35C1" w:rsidRDefault="00E8515A" w:rsidP="008B2CF8">
      <w:pPr>
        <w:pStyle w:val="MAPA"/>
      </w:pPr>
      <w:r w:rsidRPr="00AE35C1">
        <w:t>MAPA 3</w:t>
      </w:r>
      <w:r w:rsidR="004964B3">
        <w:t>6</w:t>
      </w:r>
      <w:r w:rsidRPr="00AE35C1">
        <w:t>.</w:t>
      </w:r>
      <w:r w:rsidR="00EC545F" w:rsidRPr="00AE35C1">
        <w:t xml:space="preserve"> MIASTA ŚREDNIE TRACĄCE FUNKCJE SPOŁECZNO-GOSPODARCZE.</w:t>
      </w:r>
    </w:p>
    <w:tbl>
      <w:tblPr>
        <w:tblW w:w="0" w:type="auto"/>
        <w:tblLook w:val="04A0"/>
      </w:tblPr>
      <w:tblGrid>
        <w:gridCol w:w="4896"/>
        <w:gridCol w:w="4176"/>
      </w:tblGrid>
      <w:tr w:rsidR="00EC545F" w:rsidRPr="00AE35C1" w:rsidTr="00FD0968">
        <w:tc>
          <w:tcPr>
            <w:tcW w:w="4896" w:type="dxa"/>
          </w:tcPr>
          <w:p w:rsidR="00EC545F" w:rsidRPr="00AE35C1" w:rsidRDefault="0055701D" w:rsidP="00FD0968">
            <w:pPr>
              <w:spacing w:after="0" w:line="288" w:lineRule="auto"/>
            </w:pPr>
            <w:r>
              <w:rPr>
                <w:noProof/>
                <w:lang w:eastAsia="pl-PL"/>
              </w:rPr>
              <w:drawing>
                <wp:inline distT="0" distB="0" distL="0" distR="0">
                  <wp:extent cx="2600325" cy="2533650"/>
                  <wp:effectExtent l="19050" t="0" r="9525" b="0"/>
                  <wp:docPr id="4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83" cstate="print"/>
                          <a:srcRect l="10625" t="25278" r="48360" b="4028"/>
                          <a:stretch>
                            <a:fillRect/>
                          </a:stretch>
                        </pic:blipFill>
                        <pic:spPr bwMode="auto">
                          <a:xfrm>
                            <a:off x="0" y="0"/>
                            <a:ext cx="2600325" cy="2533650"/>
                          </a:xfrm>
                          <a:prstGeom prst="rect">
                            <a:avLst/>
                          </a:prstGeom>
                          <a:noFill/>
                          <a:ln w="9525">
                            <a:noFill/>
                            <a:miter lim="800000"/>
                            <a:headEnd/>
                            <a:tailEnd/>
                          </a:ln>
                        </pic:spPr>
                      </pic:pic>
                    </a:graphicData>
                  </a:graphic>
                </wp:inline>
              </w:drawing>
            </w:r>
          </w:p>
        </w:tc>
        <w:tc>
          <w:tcPr>
            <w:tcW w:w="4176" w:type="dxa"/>
            <w:vAlign w:val="bottom"/>
          </w:tcPr>
          <w:p w:rsidR="00EC545F" w:rsidRPr="00AE35C1" w:rsidRDefault="0055701D" w:rsidP="00FD0968">
            <w:pPr>
              <w:spacing w:after="0" w:line="288" w:lineRule="auto"/>
            </w:pPr>
            <w:r>
              <w:rPr>
                <w:noProof/>
                <w:lang w:eastAsia="pl-PL"/>
              </w:rPr>
              <w:drawing>
                <wp:inline distT="0" distB="0" distL="0" distR="0">
                  <wp:extent cx="1666875" cy="2209800"/>
                  <wp:effectExtent l="19050" t="0" r="9525" b="0"/>
                  <wp:docPr id="4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84" cstate="print"/>
                          <a:srcRect l="51328" t="29166" r="27734" b="21388"/>
                          <a:stretch>
                            <a:fillRect/>
                          </a:stretch>
                        </pic:blipFill>
                        <pic:spPr bwMode="auto">
                          <a:xfrm>
                            <a:off x="0" y="0"/>
                            <a:ext cx="1666875" cy="2209800"/>
                          </a:xfrm>
                          <a:prstGeom prst="rect">
                            <a:avLst/>
                          </a:prstGeom>
                          <a:noFill/>
                          <a:ln w="9525">
                            <a:noFill/>
                            <a:miter lim="800000"/>
                            <a:headEnd/>
                            <a:tailEnd/>
                          </a:ln>
                        </pic:spPr>
                      </pic:pic>
                    </a:graphicData>
                  </a:graphic>
                </wp:inline>
              </w:drawing>
            </w:r>
          </w:p>
        </w:tc>
      </w:tr>
    </w:tbl>
    <w:p w:rsidR="00EC545F" w:rsidRPr="00AE35C1" w:rsidRDefault="00EC545F" w:rsidP="005F49A2">
      <w:pPr>
        <w:pStyle w:val="RDO"/>
        <w:spacing w:line="288" w:lineRule="auto"/>
        <w:rPr>
          <w:color w:val="000000"/>
        </w:rPr>
      </w:pPr>
      <w:r w:rsidRPr="00AE35C1">
        <w:rPr>
          <w:color w:val="000000"/>
        </w:rPr>
        <w:t>Źródło: Strategia na rzecz Odpowiedzialnego Rozwoju do roku 2020 (z perspektywą do 2030 r.) przyjęt</w:t>
      </w:r>
      <w:r w:rsidR="005F2FC7" w:rsidRPr="00AE35C1">
        <w:rPr>
          <w:color w:val="000000"/>
        </w:rPr>
        <w:t>a Uchwałą nr 8 Rady Ministrów z </w:t>
      </w:r>
      <w:r w:rsidRPr="00AE35C1">
        <w:rPr>
          <w:color w:val="000000"/>
        </w:rPr>
        <w:t>dnia 14 lutego 2017 r.</w:t>
      </w:r>
    </w:p>
    <w:p w:rsidR="00EC545F" w:rsidRPr="00AE35C1" w:rsidRDefault="00EC545F" w:rsidP="005F49A2">
      <w:pPr>
        <w:spacing w:line="288" w:lineRule="auto"/>
        <w:jc w:val="both"/>
        <w:rPr>
          <w:color w:val="000000"/>
          <w:sz w:val="21"/>
          <w:szCs w:val="21"/>
        </w:rPr>
      </w:pPr>
      <w:r w:rsidRPr="00AE35C1">
        <w:rPr>
          <w:color w:val="000000"/>
          <w:sz w:val="21"/>
          <w:szCs w:val="21"/>
        </w:rPr>
        <w:t>Zdiagnozowanym problemem</w:t>
      </w:r>
      <w:r w:rsidR="002C5E02">
        <w:rPr>
          <w:color w:val="000000"/>
          <w:sz w:val="21"/>
          <w:szCs w:val="21"/>
        </w:rPr>
        <w:t xml:space="preserve"> terenów </w:t>
      </w:r>
      <w:proofErr w:type="spellStart"/>
      <w:r w:rsidR="002C5E02">
        <w:rPr>
          <w:color w:val="000000"/>
          <w:sz w:val="21"/>
          <w:szCs w:val="21"/>
        </w:rPr>
        <w:t>zurbanizowanych</w:t>
      </w:r>
      <w:r w:rsidRPr="00AE35C1">
        <w:rPr>
          <w:color w:val="000000"/>
          <w:sz w:val="21"/>
          <w:szCs w:val="21"/>
        </w:rPr>
        <w:t>jest</w:t>
      </w:r>
      <w:proofErr w:type="spellEnd"/>
      <w:r w:rsidRPr="00AE35C1">
        <w:rPr>
          <w:color w:val="000000"/>
          <w:sz w:val="21"/>
          <w:szCs w:val="21"/>
        </w:rPr>
        <w:t xml:space="preserve"> równie</w:t>
      </w:r>
      <w:r w:rsidR="00AB6BCA" w:rsidRPr="00AE35C1">
        <w:rPr>
          <w:color w:val="000000"/>
          <w:sz w:val="21"/>
          <w:szCs w:val="21"/>
        </w:rPr>
        <w:t>ż</w:t>
      </w:r>
      <w:r w:rsidRPr="00AE35C1">
        <w:rPr>
          <w:color w:val="000000"/>
          <w:sz w:val="21"/>
          <w:szCs w:val="21"/>
        </w:rPr>
        <w:t xml:space="preserve"> zanieczyszczenie p</w:t>
      </w:r>
      <w:r w:rsidR="00656B2D" w:rsidRPr="00AE35C1">
        <w:rPr>
          <w:color w:val="000000"/>
          <w:sz w:val="21"/>
          <w:szCs w:val="21"/>
        </w:rPr>
        <w:t>owietrza, będące wynikiem m.in. </w:t>
      </w:r>
      <w:r w:rsidRPr="00AE35C1">
        <w:rPr>
          <w:color w:val="000000"/>
          <w:sz w:val="21"/>
          <w:szCs w:val="21"/>
        </w:rPr>
        <w:t xml:space="preserve">użytkowania przestarzałych źródeł ciepła (wykorzystujących paliwa niskiej jakości do ogrzewania mieszkań i domów), jak też </w:t>
      </w:r>
      <w:proofErr w:type="spellStart"/>
      <w:r w:rsidRPr="00AE35C1">
        <w:rPr>
          <w:color w:val="000000"/>
          <w:sz w:val="21"/>
          <w:szCs w:val="21"/>
        </w:rPr>
        <w:t>suburbanizacji</w:t>
      </w:r>
      <w:proofErr w:type="spellEnd"/>
      <w:r w:rsidRPr="00AE35C1">
        <w:rPr>
          <w:color w:val="000000"/>
          <w:sz w:val="21"/>
          <w:szCs w:val="21"/>
        </w:rPr>
        <w:t xml:space="preserve"> i związanego z nią niekontrolowanego rozprzestrzeniania się zabudowy. Barierą rozwojową ośrodka wojewódzkiego jest natomiast ograniczona dostępność transportowa wewnątrz jego obszaru funkcjonalnego. </w:t>
      </w:r>
      <w:r w:rsidR="009D6169">
        <w:rPr>
          <w:color w:val="000000"/>
          <w:sz w:val="21"/>
          <w:szCs w:val="21"/>
        </w:rPr>
        <w:t>Odnotowuje się niewystarczający stopień współpracy sąsiadujących JST w ograniczaniu ekspansji na obszary niezabudowane oraz w realizacji strategii niskoemisyjnych i adaptacji do zmian klimatu, czy organizacji transportu zbiorowego.</w:t>
      </w:r>
    </w:p>
    <w:p w:rsidR="00EC545F" w:rsidRPr="00AE35C1" w:rsidRDefault="00EC545F" w:rsidP="005F49A2">
      <w:pPr>
        <w:pStyle w:val="TABELA"/>
        <w:spacing w:line="288" w:lineRule="auto"/>
        <w:rPr>
          <w:rFonts w:ascii="Calibri" w:hAnsi="Calibri"/>
          <w:i/>
          <w:color w:val="000000"/>
        </w:rPr>
      </w:pPr>
      <w:r w:rsidRPr="00AE35C1">
        <w:rPr>
          <w:color w:val="000000"/>
        </w:rPr>
        <w:t xml:space="preserve">TABELA </w:t>
      </w:r>
      <w:r w:rsidR="00E6670D" w:rsidRPr="00AE35C1">
        <w:rPr>
          <w:color w:val="000000"/>
        </w:rPr>
        <w:fldChar w:fldCharType="begin"/>
      </w:r>
      <w:r w:rsidRPr="00AE35C1">
        <w:rPr>
          <w:color w:val="000000"/>
        </w:rPr>
        <w:instrText xml:space="preserve"> SEQ TABELA \* ARABIC </w:instrText>
      </w:r>
      <w:r w:rsidR="00E6670D" w:rsidRPr="00AE35C1">
        <w:rPr>
          <w:color w:val="000000"/>
        </w:rPr>
        <w:fldChar w:fldCharType="separate"/>
      </w:r>
      <w:r w:rsidR="0013522B">
        <w:rPr>
          <w:noProof/>
          <w:color w:val="000000"/>
        </w:rPr>
        <w:t>1</w:t>
      </w:r>
      <w:r w:rsidR="00E6670D" w:rsidRPr="00AE35C1">
        <w:rPr>
          <w:noProof/>
          <w:color w:val="000000"/>
        </w:rPr>
        <w:fldChar w:fldCharType="end"/>
      </w:r>
      <w:r w:rsidRPr="00AE35C1">
        <w:rPr>
          <w:color w:val="000000"/>
        </w:rPr>
        <w:t xml:space="preserve">. WYKAZ DOLNOŚLĄSKICH MIAST ŚREDNICH TRACĄCYCH FUNKCJE SPOŁECZNO-GOSPODARCZE.  </w:t>
      </w:r>
    </w:p>
    <w:tbl>
      <w:tblPr>
        <w:tblW w:w="7078" w:type="dxa"/>
        <w:jc w:val="center"/>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shd w:val="clear" w:color="auto" w:fill="D9D9D9"/>
        <w:tblLayout w:type="fixed"/>
        <w:tblLook w:val="04A0"/>
      </w:tblPr>
      <w:tblGrid>
        <w:gridCol w:w="557"/>
        <w:gridCol w:w="567"/>
        <w:gridCol w:w="1418"/>
        <w:gridCol w:w="1276"/>
        <w:gridCol w:w="3260"/>
      </w:tblGrid>
      <w:tr w:rsidR="002C5E02" w:rsidRPr="00AE35C1" w:rsidTr="00D113CA">
        <w:trPr>
          <w:tblHeader/>
          <w:jc w:val="center"/>
        </w:trPr>
        <w:tc>
          <w:tcPr>
            <w:tcW w:w="557" w:type="dxa"/>
            <w:shd w:val="clear" w:color="auto" w:fill="D9D9D9"/>
            <w:vAlign w:val="center"/>
          </w:tcPr>
          <w:p w:rsidR="002C5E02" w:rsidRPr="00AE35C1" w:rsidRDefault="002C5E02" w:rsidP="00FD0968">
            <w:pPr>
              <w:spacing w:after="0" w:line="288" w:lineRule="auto"/>
              <w:rPr>
                <w:rFonts w:ascii="Century Gothic" w:hAnsi="Century Gothic"/>
                <w:b/>
                <w:sz w:val="14"/>
                <w:szCs w:val="14"/>
              </w:rPr>
            </w:pPr>
            <w:r w:rsidRPr="00AE35C1">
              <w:rPr>
                <w:rFonts w:ascii="Century Gothic" w:hAnsi="Century Gothic"/>
                <w:b/>
                <w:sz w:val="14"/>
                <w:szCs w:val="14"/>
              </w:rPr>
              <w:t>Lp.</w:t>
            </w:r>
          </w:p>
        </w:tc>
        <w:tc>
          <w:tcPr>
            <w:tcW w:w="567" w:type="dxa"/>
            <w:shd w:val="clear" w:color="auto" w:fill="D9D9D9"/>
            <w:vAlign w:val="center"/>
          </w:tcPr>
          <w:p w:rsidR="002C5E02" w:rsidRPr="00AE35C1" w:rsidRDefault="002C5E02" w:rsidP="00FD0968">
            <w:pPr>
              <w:spacing w:after="0" w:line="288" w:lineRule="auto"/>
              <w:rPr>
                <w:rFonts w:ascii="Century Gothic" w:hAnsi="Century Gothic"/>
                <w:b/>
                <w:sz w:val="14"/>
                <w:szCs w:val="14"/>
              </w:rPr>
            </w:pPr>
            <w:r w:rsidRPr="00AE35C1">
              <w:rPr>
                <w:rFonts w:ascii="Century Gothic" w:hAnsi="Century Gothic"/>
                <w:b/>
                <w:sz w:val="14"/>
                <w:szCs w:val="14"/>
              </w:rPr>
              <w:t>Lp. SOR</w:t>
            </w:r>
          </w:p>
        </w:tc>
        <w:tc>
          <w:tcPr>
            <w:tcW w:w="1418" w:type="dxa"/>
            <w:shd w:val="clear" w:color="auto" w:fill="D9D9D9"/>
            <w:vAlign w:val="center"/>
          </w:tcPr>
          <w:p w:rsidR="002C5E02" w:rsidRPr="00AE35C1" w:rsidRDefault="002C5E02" w:rsidP="00FD0968">
            <w:pPr>
              <w:spacing w:after="0" w:line="288" w:lineRule="auto"/>
              <w:rPr>
                <w:rFonts w:ascii="Century Gothic" w:hAnsi="Century Gothic"/>
                <w:b/>
                <w:sz w:val="14"/>
                <w:szCs w:val="14"/>
              </w:rPr>
            </w:pPr>
            <w:r w:rsidRPr="00AE35C1">
              <w:rPr>
                <w:rStyle w:val="Pogrubienie"/>
                <w:rFonts w:ascii="Century Gothic" w:hAnsi="Century Gothic"/>
                <w:sz w:val="14"/>
                <w:szCs w:val="14"/>
              </w:rPr>
              <w:t>Nazwa</w:t>
            </w:r>
          </w:p>
        </w:tc>
        <w:tc>
          <w:tcPr>
            <w:tcW w:w="1276" w:type="dxa"/>
            <w:shd w:val="clear" w:color="auto" w:fill="D9D9D9"/>
            <w:vAlign w:val="center"/>
          </w:tcPr>
          <w:p w:rsidR="002C5E02" w:rsidRPr="00AE35C1" w:rsidRDefault="002C5E02" w:rsidP="00FD0968">
            <w:pPr>
              <w:spacing w:before="40" w:after="40" w:line="288" w:lineRule="auto"/>
              <w:jc w:val="center"/>
              <w:rPr>
                <w:rFonts w:ascii="Century Gothic" w:hAnsi="Century Gothic"/>
                <w:b/>
                <w:sz w:val="14"/>
                <w:szCs w:val="14"/>
              </w:rPr>
            </w:pPr>
            <w:r w:rsidRPr="00AE35C1">
              <w:rPr>
                <w:rStyle w:val="Pogrubienie"/>
                <w:rFonts w:ascii="Century Gothic" w:hAnsi="Century Gothic"/>
                <w:sz w:val="14"/>
                <w:szCs w:val="14"/>
              </w:rPr>
              <w:t>Liczba mieszkańców (2014, tys.)</w:t>
            </w:r>
          </w:p>
        </w:tc>
        <w:tc>
          <w:tcPr>
            <w:tcW w:w="3260" w:type="dxa"/>
            <w:shd w:val="clear" w:color="auto" w:fill="D9D9D9"/>
            <w:vAlign w:val="center"/>
          </w:tcPr>
          <w:p w:rsidR="002C5E02" w:rsidRPr="00AE35C1" w:rsidRDefault="002C5E02" w:rsidP="00FD0968">
            <w:pPr>
              <w:spacing w:after="0" w:line="288" w:lineRule="auto"/>
              <w:jc w:val="center"/>
              <w:rPr>
                <w:rStyle w:val="Pogrubienie"/>
                <w:rFonts w:ascii="Century Gothic" w:hAnsi="Century Gothic"/>
                <w:sz w:val="14"/>
                <w:szCs w:val="14"/>
              </w:rPr>
            </w:pPr>
            <w:r w:rsidRPr="00AE35C1">
              <w:rPr>
                <w:rStyle w:val="Pogrubienie"/>
                <w:rFonts w:ascii="Century Gothic" w:hAnsi="Century Gothic"/>
                <w:sz w:val="14"/>
                <w:szCs w:val="14"/>
              </w:rPr>
              <w:t>Typologia</w:t>
            </w:r>
          </w:p>
          <w:p w:rsidR="002C5E02" w:rsidRPr="00AE35C1" w:rsidRDefault="002C5E02" w:rsidP="00FD0968">
            <w:pPr>
              <w:spacing w:after="0" w:line="288" w:lineRule="auto"/>
              <w:jc w:val="center"/>
              <w:rPr>
                <w:rFonts w:ascii="Century Gothic" w:hAnsi="Century Gothic"/>
                <w:b/>
                <w:sz w:val="14"/>
                <w:szCs w:val="14"/>
              </w:rPr>
            </w:pPr>
            <w:r w:rsidRPr="00AE35C1">
              <w:rPr>
                <w:rStyle w:val="Pogrubienie"/>
                <w:rFonts w:ascii="Century Gothic" w:hAnsi="Century Gothic"/>
                <w:sz w:val="14"/>
                <w:szCs w:val="14"/>
              </w:rPr>
              <w:t>(nazwa zgodna z SOR)</w:t>
            </w: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1.</w:t>
            </w:r>
          </w:p>
        </w:tc>
        <w:tc>
          <w:tcPr>
            <w:tcW w:w="56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21.</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Kamienna Góra</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19,9</w:t>
            </w:r>
          </w:p>
        </w:tc>
        <w:tc>
          <w:tcPr>
            <w:tcW w:w="3260" w:type="dxa"/>
            <w:vMerge w:val="restart"/>
            <w:shd w:val="clear" w:color="auto" w:fill="D9D9D9"/>
            <w:vAlign w:val="center"/>
          </w:tcPr>
          <w:p w:rsidR="002C5E02" w:rsidRPr="00AE35C1" w:rsidRDefault="002C5E02" w:rsidP="00FD0968">
            <w:pPr>
              <w:spacing w:after="0" w:line="288" w:lineRule="auto"/>
              <w:jc w:val="center"/>
              <w:rPr>
                <w:b/>
                <w:i/>
                <w:color w:val="000000"/>
                <w:sz w:val="15"/>
                <w:szCs w:val="15"/>
              </w:rPr>
            </w:pPr>
            <w:r w:rsidRPr="00AE35C1">
              <w:rPr>
                <w:rStyle w:val="Pogrubienie"/>
                <w:color w:val="000000"/>
                <w:sz w:val="15"/>
                <w:szCs w:val="15"/>
              </w:rPr>
              <w:t>znacząca utrata funkcji, wyjątkowo niekorzystna sytuacja społeczno-gospodarcza</w:t>
            </w: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2.</w:t>
            </w:r>
          </w:p>
        </w:tc>
        <w:tc>
          <w:tcPr>
            <w:tcW w:w="56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22.</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Ząbkowice Śląskie</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15,6</w:t>
            </w:r>
          </w:p>
        </w:tc>
        <w:tc>
          <w:tcPr>
            <w:tcW w:w="3260" w:type="dxa"/>
            <w:vMerge/>
            <w:shd w:val="clear" w:color="auto" w:fill="D9D9D9"/>
            <w:vAlign w:val="center"/>
          </w:tcPr>
          <w:p w:rsidR="002C5E02" w:rsidRPr="00AE35C1" w:rsidRDefault="002C5E02" w:rsidP="00FD0968">
            <w:pPr>
              <w:spacing w:after="0" w:line="288" w:lineRule="auto"/>
              <w:jc w:val="center"/>
              <w:rPr>
                <w:color w:val="000000"/>
                <w:sz w:val="15"/>
                <w:szCs w:val="15"/>
              </w:rPr>
            </w:pP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3.</w:t>
            </w:r>
          </w:p>
        </w:tc>
        <w:tc>
          <w:tcPr>
            <w:tcW w:w="56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41.</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Jelenia Góra</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81,4</w:t>
            </w:r>
          </w:p>
        </w:tc>
        <w:tc>
          <w:tcPr>
            <w:tcW w:w="3260" w:type="dxa"/>
            <w:shd w:val="clear" w:color="auto" w:fill="D9D9D9"/>
            <w:vAlign w:val="center"/>
          </w:tcPr>
          <w:p w:rsidR="002C5E02" w:rsidRPr="00AE35C1" w:rsidRDefault="002C5E02" w:rsidP="00FD0968">
            <w:pPr>
              <w:spacing w:after="0" w:line="288" w:lineRule="auto"/>
              <w:jc w:val="center"/>
              <w:rPr>
                <w:b/>
                <w:i/>
                <w:color w:val="000000"/>
                <w:sz w:val="15"/>
                <w:szCs w:val="15"/>
              </w:rPr>
            </w:pPr>
            <w:r w:rsidRPr="00AE35C1">
              <w:rPr>
                <w:rStyle w:val="Pogrubienie"/>
                <w:color w:val="000000"/>
                <w:sz w:val="15"/>
                <w:szCs w:val="15"/>
              </w:rPr>
              <w:t>wyraźna utrata funkcji, niekorzystna sytuacja społeczno-gospodarcza</w:t>
            </w: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4.</w:t>
            </w:r>
          </w:p>
        </w:tc>
        <w:tc>
          <w:tcPr>
            <w:tcW w:w="56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57.</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Nowa Ruda</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23,0</w:t>
            </w:r>
          </w:p>
        </w:tc>
        <w:tc>
          <w:tcPr>
            <w:tcW w:w="3260" w:type="dxa"/>
            <w:vMerge w:val="restart"/>
            <w:shd w:val="clear" w:color="auto" w:fill="D9D9D9"/>
            <w:vAlign w:val="center"/>
          </w:tcPr>
          <w:p w:rsidR="002C5E02" w:rsidRPr="00AE35C1" w:rsidRDefault="002C5E02" w:rsidP="00FD0968">
            <w:pPr>
              <w:spacing w:after="0" w:line="288" w:lineRule="auto"/>
              <w:jc w:val="center"/>
              <w:rPr>
                <w:b/>
                <w:i/>
                <w:color w:val="000000"/>
                <w:sz w:val="15"/>
                <w:szCs w:val="15"/>
              </w:rPr>
            </w:pPr>
            <w:r w:rsidRPr="00AE35C1">
              <w:rPr>
                <w:rStyle w:val="Pogrubienie"/>
                <w:color w:val="000000"/>
                <w:sz w:val="15"/>
                <w:szCs w:val="15"/>
              </w:rPr>
              <w:t>utrata funkcji, wyjątkowo niekorzystna sytuacja społeczno-gospodarcza</w:t>
            </w: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5.</w:t>
            </w:r>
          </w:p>
        </w:tc>
        <w:tc>
          <w:tcPr>
            <w:tcW w:w="56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59.</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Kłodzko</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27,8</w:t>
            </w:r>
          </w:p>
        </w:tc>
        <w:tc>
          <w:tcPr>
            <w:tcW w:w="3260" w:type="dxa"/>
            <w:vMerge/>
            <w:shd w:val="clear" w:color="auto" w:fill="D9D9D9"/>
            <w:vAlign w:val="center"/>
          </w:tcPr>
          <w:p w:rsidR="002C5E02" w:rsidRPr="00AE35C1" w:rsidRDefault="002C5E02" w:rsidP="00FD0968">
            <w:pPr>
              <w:spacing w:after="0" w:line="288" w:lineRule="auto"/>
              <w:jc w:val="center"/>
              <w:rPr>
                <w:color w:val="000000"/>
                <w:sz w:val="15"/>
                <w:szCs w:val="15"/>
              </w:rPr>
            </w:pP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6.</w:t>
            </w:r>
          </w:p>
        </w:tc>
        <w:tc>
          <w:tcPr>
            <w:tcW w:w="56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61.</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Bielawa</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31,0</w:t>
            </w:r>
          </w:p>
        </w:tc>
        <w:tc>
          <w:tcPr>
            <w:tcW w:w="3260" w:type="dxa"/>
            <w:vMerge/>
            <w:shd w:val="clear" w:color="auto" w:fill="D9D9D9"/>
            <w:vAlign w:val="center"/>
          </w:tcPr>
          <w:p w:rsidR="002C5E02" w:rsidRPr="00AE35C1" w:rsidRDefault="002C5E02" w:rsidP="00FD0968">
            <w:pPr>
              <w:spacing w:after="0" w:line="288" w:lineRule="auto"/>
              <w:jc w:val="center"/>
              <w:rPr>
                <w:color w:val="000000"/>
                <w:sz w:val="15"/>
                <w:szCs w:val="15"/>
              </w:rPr>
            </w:pP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7.</w:t>
            </w:r>
          </w:p>
        </w:tc>
        <w:tc>
          <w:tcPr>
            <w:tcW w:w="56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71.</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Wałbrzych</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116,7</w:t>
            </w:r>
          </w:p>
        </w:tc>
        <w:tc>
          <w:tcPr>
            <w:tcW w:w="3260" w:type="dxa"/>
            <w:vMerge/>
            <w:shd w:val="clear" w:color="auto" w:fill="D9D9D9"/>
            <w:vAlign w:val="center"/>
          </w:tcPr>
          <w:p w:rsidR="002C5E02" w:rsidRPr="00AE35C1" w:rsidRDefault="002C5E02" w:rsidP="00FD0968">
            <w:pPr>
              <w:spacing w:after="0" w:line="288" w:lineRule="auto"/>
              <w:jc w:val="center"/>
              <w:rPr>
                <w:color w:val="000000"/>
                <w:sz w:val="15"/>
                <w:szCs w:val="15"/>
              </w:rPr>
            </w:pP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8.</w:t>
            </w:r>
          </w:p>
        </w:tc>
        <w:tc>
          <w:tcPr>
            <w:tcW w:w="56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73.</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Lubań</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21,8</w:t>
            </w:r>
          </w:p>
        </w:tc>
        <w:tc>
          <w:tcPr>
            <w:tcW w:w="3260" w:type="dxa"/>
            <w:vMerge/>
            <w:shd w:val="clear" w:color="auto" w:fill="D9D9D9"/>
            <w:vAlign w:val="center"/>
          </w:tcPr>
          <w:p w:rsidR="002C5E02" w:rsidRPr="00AE35C1" w:rsidRDefault="002C5E02" w:rsidP="00FD0968">
            <w:pPr>
              <w:spacing w:after="0" w:line="288" w:lineRule="auto"/>
              <w:jc w:val="center"/>
              <w:rPr>
                <w:color w:val="000000"/>
                <w:sz w:val="15"/>
                <w:szCs w:val="15"/>
              </w:rPr>
            </w:pP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9.</w:t>
            </w:r>
          </w:p>
        </w:tc>
        <w:tc>
          <w:tcPr>
            <w:tcW w:w="56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86.</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Zgorzelec</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31,5</w:t>
            </w:r>
          </w:p>
        </w:tc>
        <w:tc>
          <w:tcPr>
            <w:tcW w:w="3260" w:type="dxa"/>
            <w:vMerge w:val="restart"/>
            <w:shd w:val="clear" w:color="auto" w:fill="D9D9D9"/>
            <w:vAlign w:val="center"/>
          </w:tcPr>
          <w:p w:rsidR="002C5E02" w:rsidRPr="00AE35C1" w:rsidRDefault="002C5E02" w:rsidP="00FD0968">
            <w:pPr>
              <w:spacing w:after="0" w:line="288" w:lineRule="auto"/>
              <w:jc w:val="center"/>
              <w:rPr>
                <w:b/>
                <w:i/>
                <w:color w:val="000000"/>
                <w:sz w:val="15"/>
                <w:szCs w:val="15"/>
              </w:rPr>
            </w:pPr>
            <w:r w:rsidRPr="00AE35C1">
              <w:rPr>
                <w:rStyle w:val="Pogrubienie"/>
                <w:color w:val="000000"/>
                <w:sz w:val="15"/>
                <w:szCs w:val="15"/>
              </w:rPr>
              <w:t>utrata funkcji, niekorzystna sytuacja społeczno-gospodarcza</w:t>
            </w:r>
          </w:p>
          <w:p w:rsidR="002C5E02" w:rsidRPr="00AE35C1" w:rsidRDefault="002C5E02" w:rsidP="00FD0968">
            <w:pPr>
              <w:spacing w:after="0" w:line="288" w:lineRule="auto"/>
              <w:jc w:val="center"/>
              <w:rPr>
                <w:color w:val="000000"/>
                <w:sz w:val="15"/>
                <w:szCs w:val="15"/>
              </w:rPr>
            </w:pP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10.</w:t>
            </w:r>
          </w:p>
        </w:tc>
        <w:tc>
          <w:tcPr>
            <w:tcW w:w="56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89.</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Dzierżoniów</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34,2</w:t>
            </w:r>
          </w:p>
        </w:tc>
        <w:tc>
          <w:tcPr>
            <w:tcW w:w="3260" w:type="dxa"/>
            <w:vMerge/>
            <w:shd w:val="clear" w:color="auto" w:fill="D9D9D9"/>
            <w:vAlign w:val="center"/>
          </w:tcPr>
          <w:p w:rsidR="002C5E02" w:rsidRPr="00AE35C1" w:rsidRDefault="002C5E02" w:rsidP="00FD0968">
            <w:pPr>
              <w:spacing w:after="0" w:line="288" w:lineRule="auto"/>
              <w:rPr>
                <w:sz w:val="15"/>
                <w:szCs w:val="15"/>
              </w:rPr>
            </w:pP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11.</w:t>
            </w:r>
          </w:p>
        </w:tc>
        <w:tc>
          <w:tcPr>
            <w:tcW w:w="56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93.</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Jawor</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23,8</w:t>
            </w:r>
          </w:p>
        </w:tc>
        <w:tc>
          <w:tcPr>
            <w:tcW w:w="3260" w:type="dxa"/>
            <w:vMerge/>
            <w:shd w:val="clear" w:color="auto" w:fill="D9D9D9"/>
            <w:vAlign w:val="center"/>
          </w:tcPr>
          <w:p w:rsidR="002C5E02" w:rsidRPr="00AE35C1" w:rsidRDefault="002C5E02" w:rsidP="00FD0968">
            <w:pPr>
              <w:spacing w:after="0" w:line="288" w:lineRule="auto"/>
              <w:rPr>
                <w:sz w:val="15"/>
                <w:szCs w:val="15"/>
              </w:rPr>
            </w:pP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12.</w:t>
            </w:r>
          </w:p>
        </w:tc>
        <w:tc>
          <w:tcPr>
            <w:tcW w:w="567" w:type="dxa"/>
            <w:shd w:val="clear" w:color="auto" w:fill="D9D9D9"/>
            <w:vAlign w:val="center"/>
          </w:tcPr>
          <w:p w:rsidR="002C5E02" w:rsidRPr="00AE35C1" w:rsidRDefault="002C5E02" w:rsidP="00FD0968">
            <w:pPr>
              <w:spacing w:after="0" w:line="288" w:lineRule="auto"/>
              <w:ind w:right="-108"/>
              <w:rPr>
                <w:sz w:val="15"/>
                <w:szCs w:val="15"/>
              </w:rPr>
            </w:pPr>
            <w:r w:rsidRPr="00AE35C1">
              <w:rPr>
                <w:sz w:val="15"/>
                <w:szCs w:val="15"/>
              </w:rPr>
              <w:t>104.</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Bolesławiec</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39,5</w:t>
            </w:r>
          </w:p>
        </w:tc>
        <w:tc>
          <w:tcPr>
            <w:tcW w:w="3260" w:type="dxa"/>
            <w:vMerge/>
            <w:shd w:val="clear" w:color="auto" w:fill="D9D9D9"/>
            <w:vAlign w:val="center"/>
          </w:tcPr>
          <w:p w:rsidR="002C5E02" w:rsidRPr="00AE35C1" w:rsidRDefault="002C5E02" w:rsidP="00FD0968">
            <w:pPr>
              <w:spacing w:after="0" w:line="288" w:lineRule="auto"/>
              <w:rPr>
                <w:sz w:val="15"/>
                <w:szCs w:val="15"/>
              </w:rPr>
            </w:pP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13.</w:t>
            </w:r>
          </w:p>
        </w:tc>
        <w:tc>
          <w:tcPr>
            <w:tcW w:w="567" w:type="dxa"/>
            <w:shd w:val="clear" w:color="auto" w:fill="D9D9D9"/>
            <w:vAlign w:val="center"/>
          </w:tcPr>
          <w:p w:rsidR="002C5E02" w:rsidRPr="00AE35C1" w:rsidRDefault="002C5E02" w:rsidP="00FD0968">
            <w:pPr>
              <w:spacing w:after="0" w:line="288" w:lineRule="auto"/>
              <w:ind w:right="-108"/>
              <w:rPr>
                <w:sz w:val="15"/>
                <w:szCs w:val="15"/>
              </w:rPr>
            </w:pPr>
            <w:r w:rsidRPr="00AE35C1">
              <w:rPr>
                <w:sz w:val="15"/>
                <w:szCs w:val="15"/>
              </w:rPr>
              <w:t>114.</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Świebodzice</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23,2</w:t>
            </w:r>
          </w:p>
        </w:tc>
        <w:tc>
          <w:tcPr>
            <w:tcW w:w="3260" w:type="dxa"/>
            <w:vMerge/>
            <w:shd w:val="clear" w:color="auto" w:fill="D9D9D9"/>
            <w:vAlign w:val="center"/>
          </w:tcPr>
          <w:p w:rsidR="002C5E02" w:rsidRPr="00AE35C1" w:rsidRDefault="002C5E02" w:rsidP="00FD0968">
            <w:pPr>
              <w:spacing w:after="0" w:line="288" w:lineRule="auto"/>
              <w:rPr>
                <w:sz w:val="15"/>
                <w:szCs w:val="15"/>
              </w:rPr>
            </w:pPr>
          </w:p>
        </w:tc>
      </w:tr>
      <w:tr w:rsidR="002C5E02" w:rsidRPr="00AE35C1" w:rsidTr="00D113CA">
        <w:trPr>
          <w:jc w:val="center"/>
        </w:trPr>
        <w:tc>
          <w:tcPr>
            <w:tcW w:w="557"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14.</w:t>
            </w:r>
          </w:p>
        </w:tc>
        <w:tc>
          <w:tcPr>
            <w:tcW w:w="567" w:type="dxa"/>
            <w:shd w:val="clear" w:color="auto" w:fill="D9D9D9"/>
            <w:vAlign w:val="center"/>
          </w:tcPr>
          <w:p w:rsidR="002C5E02" w:rsidRPr="00AE35C1" w:rsidRDefault="002C5E02" w:rsidP="00FD0968">
            <w:pPr>
              <w:spacing w:after="0" w:line="288" w:lineRule="auto"/>
              <w:ind w:right="-108"/>
              <w:rPr>
                <w:sz w:val="15"/>
                <w:szCs w:val="15"/>
              </w:rPr>
            </w:pPr>
            <w:r w:rsidRPr="00AE35C1">
              <w:rPr>
                <w:sz w:val="15"/>
                <w:szCs w:val="15"/>
              </w:rPr>
              <w:t>118.</w:t>
            </w:r>
          </w:p>
        </w:tc>
        <w:tc>
          <w:tcPr>
            <w:tcW w:w="1418" w:type="dxa"/>
            <w:shd w:val="clear" w:color="auto" w:fill="D9D9D9"/>
            <w:vAlign w:val="center"/>
          </w:tcPr>
          <w:p w:rsidR="002C5E02" w:rsidRPr="00AE35C1" w:rsidRDefault="002C5E02" w:rsidP="00FD0968">
            <w:pPr>
              <w:spacing w:after="0" w:line="288" w:lineRule="auto"/>
              <w:rPr>
                <w:sz w:val="15"/>
                <w:szCs w:val="15"/>
              </w:rPr>
            </w:pPr>
            <w:r w:rsidRPr="00AE35C1">
              <w:rPr>
                <w:sz w:val="15"/>
                <w:szCs w:val="15"/>
              </w:rPr>
              <w:t>Złotoryja</w:t>
            </w:r>
          </w:p>
        </w:tc>
        <w:tc>
          <w:tcPr>
            <w:tcW w:w="1276" w:type="dxa"/>
            <w:shd w:val="clear" w:color="auto" w:fill="D9D9D9"/>
            <w:vAlign w:val="center"/>
          </w:tcPr>
          <w:p w:rsidR="002C5E02" w:rsidRPr="00AE35C1" w:rsidRDefault="002C5E02" w:rsidP="00FD0968">
            <w:pPr>
              <w:spacing w:after="0" w:line="288" w:lineRule="auto"/>
              <w:jc w:val="center"/>
              <w:rPr>
                <w:sz w:val="15"/>
                <w:szCs w:val="15"/>
              </w:rPr>
            </w:pPr>
            <w:r w:rsidRPr="00AE35C1">
              <w:rPr>
                <w:sz w:val="15"/>
                <w:szCs w:val="15"/>
              </w:rPr>
              <w:t>16,1</w:t>
            </w:r>
          </w:p>
        </w:tc>
        <w:tc>
          <w:tcPr>
            <w:tcW w:w="3260" w:type="dxa"/>
            <w:vMerge/>
            <w:shd w:val="clear" w:color="auto" w:fill="D9D9D9"/>
            <w:vAlign w:val="center"/>
          </w:tcPr>
          <w:p w:rsidR="002C5E02" w:rsidRPr="00AE35C1" w:rsidRDefault="002C5E02" w:rsidP="00FD0968">
            <w:pPr>
              <w:spacing w:after="0" w:line="288" w:lineRule="auto"/>
              <w:rPr>
                <w:sz w:val="15"/>
                <w:szCs w:val="15"/>
              </w:rPr>
            </w:pPr>
          </w:p>
        </w:tc>
      </w:tr>
    </w:tbl>
    <w:p w:rsidR="00EC545F" w:rsidRPr="007E7097" w:rsidRDefault="00EC545F" w:rsidP="00C21207">
      <w:pPr>
        <w:pStyle w:val="RDO"/>
        <w:rPr>
          <w:color w:val="000000" w:themeColor="text1"/>
        </w:rPr>
      </w:pPr>
      <w:r w:rsidRPr="007E7097">
        <w:rPr>
          <w:color w:val="000000" w:themeColor="text1"/>
        </w:rPr>
        <w:t>Źródło: Delimitacja miast średnich tracących funkcje społeczno-gospodarcze opracowano dla potrzeb Strategii na rzecz Odpowiedzialnego Rozwoju, P. Śleszyński, Instytut Geografii i Przestrzennego Zagospodarowania PAN, Warszawa, listopad 2016 r.</w:t>
      </w:r>
    </w:p>
    <w:p w:rsidR="007C727C" w:rsidRPr="00AE35C1" w:rsidRDefault="00EC545F" w:rsidP="007C727C">
      <w:pPr>
        <w:spacing w:before="60" w:after="0" w:line="288" w:lineRule="auto"/>
        <w:jc w:val="both"/>
        <w:rPr>
          <w:color w:val="000000"/>
          <w:sz w:val="21"/>
          <w:szCs w:val="21"/>
        </w:rPr>
      </w:pPr>
      <w:r w:rsidRPr="00AE35C1">
        <w:rPr>
          <w:rFonts w:cs="Calibri"/>
          <w:b/>
          <w:sz w:val="21"/>
          <w:szCs w:val="21"/>
        </w:rPr>
        <w:t>Wyzwania rozwojowe obszarów wiejskich</w:t>
      </w:r>
      <w:r w:rsidR="00DF2BF2" w:rsidRPr="00AE35C1">
        <w:rPr>
          <w:rFonts w:cs="Calibri"/>
          <w:b/>
          <w:sz w:val="21"/>
          <w:szCs w:val="21"/>
        </w:rPr>
        <w:t xml:space="preserve">. </w:t>
      </w:r>
      <w:r w:rsidRPr="00AE35C1">
        <w:rPr>
          <w:rFonts w:cs="Calibri"/>
          <w:color w:val="404040"/>
          <w:sz w:val="21"/>
          <w:szCs w:val="21"/>
        </w:rPr>
        <w:t xml:space="preserve">Obszary wiejskie (w szczególności położone poza obszarem funkcjonalnym dużych aglomeracji) charakteryzują się stosunkowo niskim poziomem jakości życia mieszkańców i surowcowym charakterem produkcji. Mimo wzrostu dochodów gospodarstw domowych </w:t>
      </w:r>
      <w:r w:rsidRPr="00AE35C1">
        <w:rPr>
          <w:rFonts w:cs="Calibri"/>
          <w:color w:val="404040"/>
          <w:sz w:val="21"/>
          <w:szCs w:val="21"/>
        </w:rPr>
        <w:lastRenderedPageBreak/>
        <w:t>na obszarach wiejskich w kraju po roku 2004, ich poziom nadal jest niższy</w:t>
      </w:r>
      <w:r w:rsidR="008B2CF8" w:rsidRPr="00AE35C1">
        <w:rPr>
          <w:rFonts w:cs="Calibri"/>
          <w:color w:val="404040"/>
          <w:sz w:val="21"/>
          <w:szCs w:val="21"/>
        </w:rPr>
        <w:t xml:space="preserve"> od średniej krajowej. Deficyt </w:t>
      </w:r>
      <w:r w:rsidRPr="00AE35C1">
        <w:rPr>
          <w:rFonts w:cs="Calibri"/>
          <w:color w:val="404040"/>
          <w:sz w:val="21"/>
          <w:szCs w:val="21"/>
        </w:rPr>
        <w:t>wolnych miejsc pracy, niski poziom przedsiębiorczości i kwalifi</w:t>
      </w:r>
      <w:r w:rsidR="008B2CF8" w:rsidRPr="00AE35C1">
        <w:rPr>
          <w:rFonts w:cs="Calibri"/>
          <w:color w:val="404040"/>
          <w:sz w:val="21"/>
          <w:szCs w:val="21"/>
        </w:rPr>
        <w:t>kacji mieszkańców sprawiają, iż </w:t>
      </w:r>
      <w:r w:rsidRPr="00AE35C1">
        <w:rPr>
          <w:rFonts w:cs="Calibri"/>
          <w:color w:val="404040"/>
          <w:sz w:val="21"/>
          <w:szCs w:val="21"/>
        </w:rPr>
        <w:t>mimo nadwyżki siły roboczej, na obszarach wiejskich notuje się niski poziom mobilności zawodowej. Deficyty rozwojowe związane są także z</w:t>
      </w:r>
      <w:r w:rsidR="00331B1F" w:rsidRPr="00AE35C1">
        <w:rPr>
          <w:rFonts w:cs="Calibri"/>
          <w:color w:val="404040"/>
          <w:sz w:val="21"/>
          <w:szCs w:val="21"/>
        </w:rPr>
        <w:t> </w:t>
      </w:r>
      <w:r w:rsidRPr="00AE35C1">
        <w:rPr>
          <w:rFonts w:cs="Calibri"/>
          <w:color w:val="404040"/>
          <w:sz w:val="21"/>
          <w:szCs w:val="21"/>
        </w:rPr>
        <w:t>niedostatecznie rozwiniętą infrastrukturą, w szczególności: energetyczną, wodno-kanalizacyjną, urządzeniami melioracji i małe</w:t>
      </w:r>
      <w:r w:rsidR="008B2CF8" w:rsidRPr="00AE35C1">
        <w:rPr>
          <w:rFonts w:cs="Calibri"/>
          <w:color w:val="404040"/>
          <w:sz w:val="21"/>
          <w:szCs w:val="21"/>
        </w:rPr>
        <w:t>j retencji oraz transportową (w </w:t>
      </w:r>
      <w:r w:rsidRPr="00AE35C1">
        <w:rPr>
          <w:rFonts w:cs="Calibri"/>
          <w:color w:val="404040"/>
          <w:sz w:val="21"/>
          <w:szCs w:val="21"/>
        </w:rPr>
        <w:t>zakresie połączeń z</w:t>
      </w:r>
      <w:r w:rsidR="0013132B" w:rsidRPr="00AE35C1">
        <w:rPr>
          <w:rFonts w:cs="Calibri"/>
          <w:color w:val="404040"/>
          <w:sz w:val="21"/>
          <w:szCs w:val="21"/>
        </w:rPr>
        <w:t> </w:t>
      </w:r>
      <w:r w:rsidRPr="00AE35C1">
        <w:rPr>
          <w:rFonts w:cs="Calibri"/>
          <w:color w:val="404040"/>
          <w:sz w:val="21"/>
          <w:szCs w:val="21"/>
        </w:rPr>
        <w:t xml:space="preserve">miastami wojewódzkimi, połączeń podmiejskich i w obrębie lokalnych rynków pracy). </w:t>
      </w:r>
      <w:r w:rsidR="007C727C" w:rsidRPr="00AE35C1">
        <w:rPr>
          <w:color w:val="000000"/>
          <w:sz w:val="21"/>
          <w:szCs w:val="21"/>
        </w:rPr>
        <w:t xml:space="preserve">Część obszarów wiejskich, mimo zróżnicowanych potencjałów rozwojowych, uzależniona </w:t>
      </w:r>
      <w:r w:rsidR="00656B2D" w:rsidRPr="00AE35C1">
        <w:rPr>
          <w:color w:val="000000"/>
          <w:sz w:val="21"/>
          <w:szCs w:val="21"/>
        </w:rPr>
        <w:t>j</w:t>
      </w:r>
      <w:r w:rsidR="008B2CF8" w:rsidRPr="00AE35C1">
        <w:rPr>
          <w:color w:val="000000"/>
          <w:sz w:val="21"/>
          <w:szCs w:val="21"/>
        </w:rPr>
        <w:t>est od </w:t>
      </w:r>
      <w:r w:rsidR="00656B2D" w:rsidRPr="00AE35C1">
        <w:rPr>
          <w:color w:val="000000"/>
          <w:sz w:val="21"/>
          <w:szCs w:val="21"/>
        </w:rPr>
        <w:t>rolnictwa, ponieważ na </w:t>
      </w:r>
      <w:r w:rsidR="007C727C" w:rsidRPr="00AE35C1">
        <w:rPr>
          <w:color w:val="000000"/>
          <w:sz w:val="21"/>
          <w:szCs w:val="21"/>
        </w:rPr>
        <w:t>obszarach tych nie wykształciły się pozarolnicze specjalizacje gospodarcze. Oznacza to brak na tych terenach stabilnych pozarolniczych miejsc pracy. Obszary o przeważającej funkcji rolniczej są silnie zróżnicowane regionalnie. Należą do nich zarówno t</w:t>
      </w:r>
      <w:r w:rsidR="008B2CF8" w:rsidRPr="00AE35C1">
        <w:rPr>
          <w:color w:val="000000"/>
          <w:sz w:val="21"/>
          <w:szCs w:val="21"/>
        </w:rPr>
        <w:t>e, gdzie rolnictwo boryka się z </w:t>
      </w:r>
      <w:r w:rsidR="007C727C" w:rsidRPr="00AE35C1">
        <w:rPr>
          <w:color w:val="000000"/>
          <w:sz w:val="21"/>
          <w:szCs w:val="21"/>
        </w:rPr>
        <w:t>trudnościami o charakterze strukturalnym (np. n</w:t>
      </w:r>
      <w:r w:rsidR="005F2FC7" w:rsidRPr="00AE35C1">
        <w:rPr>
          <w:color w:val="000000"/>
          <w:sz w:val="21"/>
          <w:szCs w:val="21"/>
        </w:rPr>
        <w:t>iekorzystna struktura agrarna i </w:t>
      </w:r>
      <w:r w:rsidR="007C727C" w:rsidRPr="00AE35C1">
        <w:rPr>
          <w:color w:val="000000"/>
          <w:sz w:val="21"/>
          <w:szCs w:val="21"/>
        </w:rPr>
        <w:t>struktura</w:t>
      </w:r>
      <w:r w:rsidR="00656B2D" w:rsidRPr="00AE35C1">
        <w:rPr>
          <w:color w:val="000000"/>
          <w:sz w:val="21"/>
          <w:szCs w:val="21"/>
        </w:rPr>
        <w:t xml:space="preserve"> demograficzna), jak również te </w:t>
      </w:r>
      <w:r w:rsidR="007C727C" w:rsidRPr="00AE35C1">
        <w:rPr>
          <w:color w:val="000000"/>
          <w:sz w:val="21"/>
          <w:szCs w:val="21"/>
        </w:rPr>
        <w:t>z wysokowydajnym rolnictwem. Również w przestrzeni Dolnego Śląska można również wyróżnić skupiska gmin wiejskich i powiązanych z nimi funkcjonalnie małych miast zagrożonych trwałą marginalizacją, gdzie występuje kumulacja problemów społeczn</w:t>
      </w:r>
      <w:r w:rsidR="00656B2D" w:rsidRPr="00AE35C1">
        <w:rPr>
          <w:color w:val="000000"/>
          <w:sz w:val="21"/>
          <w:szCs w:val="21"/>
        </w:rPr>
        <w:t>ych i ekonomicznych. Obszary te </w:t>
      </w:r>
      <w:r w:rsidR="007C727C" w:rsidRPr="00AE35C1">
        <w:rPr>
          <w:color w:val="000000"/>
          <w:sz w:val="21"/>
          <w:szCs w:val="21"/>
        </w:rPr>
        <w:t>charakteryzuje m.in. nasilona emigracja osób w wieku produkcyjnym oraz ograniczony dostęp do usług, co prowadzi do dalszego nasilania się emigracji i kurczenia zasobów.</w:t>
      </w:r>
      <w:r w:rsidR="007C727C" w:rsidRPr="00AE35C1">
        <w:rPr>
          <w:rStyle w:val="Odwoanieprzypisudolnego"/>
          <w:color w:val="000000"/>
          <w:sz w:val="21"/>
          <w:szCs w:val="21"/>
        </w:rPr>
        <w:footnoteReference w:id="11"/>
      </w:r>
    </w:p>
    <w:p w:rsidR="0008799C" w:rsidRPr="00AE35C1" w:rsidRDefault="00E8515A" w:rsidP="008B2CF8">
      <w:pPr>
        <w:pStyle w:val="MAPA"/>
        <w:rPr>
          <w:rFonts w:cs="Calibri"/>
          <w:color w:val="404040"/>
          <w:sz w:val="21"/>
          <w:szCs w:val="21"/>
        </w:rPr>
      </w:pPr>
      <w:r w:rsidRPr="00AE35C1">
        <w:t>MAPA 3</w:t>
      </w:r>
      <w:r w:rsidR="004964B3">
        <w:t>7</w:t>
      </w:r>
      <w:r w:rsidRPr="00AE35C1">
        <w:t>.</w:t>
      </w:r>
      <w:r w:rsidR="0008799C" w:rsidRPr="00AE35C1">
        <w:t xml:space="preserve"> OBSZARY ZAGROŻONE TRWAŁĄ MARGINALIZACJĄ.</w:t>
      </w:r>
    </w:p>
    <w:tbl>
      <w:tblPr>
        <w:tblW w:w="9356" w:type="dxa"/>
        <w:tblInd w:w="-142" w:type="dxa"/>
        <w:tblLook w:val="04A0"/>
      </w:tblPr>
      <w:tblGrid>
        <w:gridCol w:w="4112"/>
        <w:gridCol w:w="616"/>
        <w:gridCol w:w="4628"/>
      </w:tblGrid>
      <w:tr w:rsidR="0008799C" w:rsidRPr="00AE35C1" w:rsidTr="00852357">
        <w:tc>
          <w:tcPr>
            <w:tcW w:w="4728" w:type="dxa"/>
            <w:gridSpan w:val="2"/>
          </w:tcPr>
          <w:p w:rsidR="0008799C" w:rsidRPr="00AE35C1" w:rsidRDefault="0055701D" w:rsidP="00FD0968">
            <w:pPr>
              <w:spacing w:after="0" w:line="288" w:lineRule="auto"/>
              <w:jc w:val="center"/>
              <w:rPr>
                <w:rFonts w:ascii="Century Gothic" w:hAnsi="Century Gothic"/>
                <w:b/>
                <w:sz w:val="18"/>
                <w:szCs w:val="18"/>
              </w:rPr>
            </w:pPr>
            <w:r>
              <w:rPr>
                <w:noProof/>
                <w:lang w:eastAsia="pl-PL"/>
              </w:rPr>
              <w:drawing>
                <wp:inline distT="0" distB="0" distL="0" distR="0">
                  <wp:extent cx="2547463" cy="2361063"/>
                  <wp:effectExtent l="0" t="0" r="5715" b="1270"/>
                  <wp:docPr id="43"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85" cstate="print"/>
                          <a:srcRect r="34438"/>
                          <a:stretch>
                            <a:fillRect/>
                          </a:stretch>
                        </pic:blipFill>
                        <pic:spPr bwMode="auto">
                          <a:xfrm>
                            <a:off x="0" y="0"/>
                            <a:ext cx="2549492" cy="2362944"/>
                          </a:xfrm>
                          <a:prstGeom prst="rect">
                            <a:avLst/>
                          </a:prstGeom>
                          <a:noFill/>
                          <a:ln w="9525">
                            <a:noFill/>
                            <a:miter lim="800000"/>
                            <a:headEnd/>
                            <a:tailEnd/>
                          </a:ln>
                        </pic:spPr>
                      </pic:pic>
                    </a:graphicData>
                  </a:graphic>
                </wp:inline>
              </w:drawing>
            </w:r>
          </w:p>
        </w:tc>
        <w:tc>
          <w:tcPr>
            <w:tcW w:w="4628" w:type="dxa"/>
            <w:vAlign w:val="bottom"/>
          </w:tcPr>
          <w:p w:rsidR="0008799C" w:rsidRPr="00AE35C1" w:rsidRDefault="0055701D" w:rsidP="00FD0968">
            <w:pPr>
              <w:spacing w:after="0" w:line="288" w:lineRule="auto"/>
              <w:rPr>
                <w:rFonts w:ascii="Century Gothic" w:hAnsi="Century Gothic"/>
                <w:b/>
                <w:sz w:val="18"/>
                <w:szCs w:val="18"/>
              </w:rPr>
            </w:pPr>
            <w:r>
              <w:rPr>
                <w:noProof/>
                <w:lang w:eastAsia="pl-PL"/>
              </w:rPr>
              <w:drawing>
                <wp:inline distT="0" distB="0" distL="0" distR="0">
                  <wp:extent cx="1304925" cy="885825"/>
                  <wp:effectExtent l="19050" t="0" r="9525" b="0"/>
                  <wp:docPr id="44"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85" cstate="print"/>
                          <a:srcRect l="66440" t="46992" r="8179" b="24622"/>
                          <a:stretch>
                            <a:fillRect/>
                          </a:stretch>
                        </pic:blipFill>
                        <pic:spPr bwMode="auto">
                          <a:xfrm>
                            <a:off x="0" y="0"/>
                            <a:ext cx="1304925" cy="885825"/>
                          </a:xfrm>
                          <a:prstGeom prst="rect">
                            <a:avLst/>
                          </a:prstGeom>
                          <a:noFill/>
                          <a:ln w="9525">
                            <a:noFill/>
                            <a:miter lim="800000"/>
                            <a:headEnd/>
                            <a:tailEnd/>
                          </a:ln>
                        </pic:spPr>
                      </pic:pic>
                    </a:graphicData>
                  </a:graphic>
                </wp:inline>
              </w:drawing>
            </w:r>
            <w:r>
              <w:rPr>
                <w:noProof/>
                <w:lang w:eastAsia="pl-PL"/>
              </w:rPr>
              <w:drawing>
                <wp:inline distT="0" distB="0" distL="0" distR="0">
                  <wp:extent cx="1714500" cy="1057275"/>
                  <wp:effectExtent l="19050" t="0" r="0" b="0"/>
                  <wp:docPr id="45"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85" cstate="print"/>
                          <a:srcRect l="66440" t="8804" b="57098"/>
                          <a:stretch>
                            <a:fillRect/>
                          </a:stretch>
                        </pic:blipFill>
                        <pic:spPr bwMode="auto">
                          <a:xfrm>
                            <a:off x="0" y="0"/>
                            <a:ext cx="1714500" cy="1057275"/>
                          </a:xfrm>
                          <a:prstGeom prst="rect">
                            <a:avLst/>
                          </a:prstGeom>
                          <a:noFill/>
                          <a:ln w="9525">
                            <a:noFill/>
                            <a:miter lim="800000"/>
                            <a:headEnd/>
                            <a:tailEnd/>
                          </a:ln>
                        </pic:spPr>
                      </pic:pic>
                    </a:graphicData>
                  </a:graphic>
                </wp:inline>
              </w:drawing>
            </w:r>
          </w:p>
          <w:p w:rsidR="0008799C" w:rsidRPr="00AE35C1" w:rsidRDefault="0008799C" w:rsidP="00FD0968">
            <w:pPr>
              <w:pStyle w:val="RDO"/>
              <w:spacing w:after="240" w:line="288" w:lineRule="auto"/>
              <w:jc w:val="left"/>
              <w:rPr>
                <w:rFonts w:ascii="Century Gothic" w:hAnsi="Century Gothic" w:cs="Arial"/>
                <w:sz w:val="18"/>
                <w:szCs w:val="18"/>
              </w:rPr>
            </w:pPr>
            <w:r w:rsidRPr="00AE35C1">
              <w:rPr>
                <w:rFonts w:cs="Arial"/>
                <w:color w:val="000000"/>
              </w:rPr>
              <w:t>Źródło: Strategia na rzecz Odpowiedz</w:t>
            </w:r>
            <w:r w:rsidR="008B2CF8" w:rsidRPr="00AE35C1">
              <w:rPr>
                <w:rFonts w:cs="Arial"/>
                <w:color w:val="000000"/>
              </w:rPr>
              <w:t>ialnego Rozwoju do roku 2020 (z </w:t>
            </w:r>
            <w:r w:rsidRPr="00AE35C1">
              <w:rPr>
                <w:rFonts w:cs="Arial"/>
                <w:color w:val="000000"/>
              </w:rPr>
              <w:t>perspektywą do 2030 r.) przyjęta Uchwałą nr 8 Rady Ministrów z dnia 14 lutego 2017 r.</w:t>
            </w:r>
          </w:p>
        </w:tc>
      </w:tr>
      <w:tr w:rsidR="00EC545F" w:rsidRPr="00AE35C1" w:rsidTr="00852357">
        <w:tc>
          <w:tcPr>
            <w:tcW w:w="4112" w:type="dxa"/>
          </w:tcPr>
          <w:p w:rsidR="00EC545F" w:rsidRPr="00AE35C1" w:rsidRDefault="00EC545F" w:rsidP="00BD6D73">
            <w:pPr>
              <w:pStyle w:val="TEKST"/>
            </w:pPr>
            <w:r w:rsidRPr="00AE35C1">
              <w:rPr>
                <w:color w:val="404040"/>
              </w:rPr>
              <w:t>W Krajowej Strategii Rozwoju Regionalnego wyodrębn</w:t>
            </w:r>
            <w:r w:rsidR="008B2CF8" w:rsidRPr="00AE35C1">
              <w:rPr>
                <w:color w:val="404040"/>
              </w:rPr>
              <w:t>ione zostały obszary, które dla </w:t>
            </w:r>
            <w:r w:rsidRPr="00AE35C1">
              <w:rPr>
                <w:color w:val="404040"/>
              </w:rPr>
              <w:t>pełnego wykorzystania ich potencjałów rozwojowych wymagają zewnętrznej interwencji. Obszary te nazwano Obszarami Strategicznej Interwencji (OSI). Wyznaczone zostały zarówno w  skali kraju, jak i regionu, na podstawie zidentyfikowanych obszarów problemowych, po to, aby właśnie tam mogła być kierowana adekwatna in</w:t>
            </w:r>
            <w:r w:rsidR="0071313D" w:rsidRPr="00AE35C1">
              <w:rPr>
                <w:color w:val="404040"/>
              </w:rPr>
              <w:t>terwencja publiczna</w:t>
            </w:r>
            <w:r w:rsidRPr="00AE35C1">
              <w:rPr>
                <w:color w:val="404040"/>
              </w:rPr>
              <w:t>.</w:t>
            </w:r>
          </w:p>
          <w:p w:rsidR="00EC545F" w:rsidRPr="00AE35C1" w:rsidRDefault="00EC545F" w:rsidP="00FD0968">
            <w:pPr>
              <w:spacing w:after="0" w:line="288" w:lineRule="auto"/>
              <w:rPr>
                <w:color w:val="404040"/>
                <w:sz w:val="21"/>
                <w:szCs w:val="21"/>
              </w:rPr>
            </w:pPr>
          </w:p>
        </w:tc>
        <w:tc>
          <w:tcPr>
            <w:tcW w:w="5244" w:type="dxa"/>
            <w:gridSpan w:val="2"/>
          </w:tcPr>
          <w:p w:rsidR="00EC545F" w:rsidRPr="00AE35C1" w:rsidRDefault="00852357" w:rsidP="00852357">
            <w:pPr>
              <w:pStyle w:val="MAPA"/>
              <w:pBdr>
                <w:bottom w:val="none" w:sz="0" w:space="0" w:color="auto"/>
              </w:pBdr>
              <w:spacing w:before="0"/>
              <w:jc w:val="both"/>
            </w:pPr>
            <w:r>
              <w:drawing>
                <wp:anchor distT="0" distB="0" distL="114300" distR="114300" simplePos="0" relativeHeight="251658240" behindDoc="1" locked="0" layoutInCell="1" allowOverlap="1">
                  <wp:simplePos x="0" y="0"/>
                  <wp:positionH relativeFrom="column">
                    <wp:posOffset>347980</wp:posOffset>
                  </wp:positionH>
                  <wp:positionV relativeFrom="paragraph">
                    <wp:posOffset>307671</wp:posOffset>
                  </wp:positionV>
                  <wp:extent cx="2564130" cy="2378075"/>
                  <wp:effectExtent l="19050" t="0" r="7620" b="0"/>
                  <wp:wrapTight wrapText="bothSides">
                    <wp:wrapPolygon edited="0">
                      <wp:start x="-160" y="0"/>
                      <wp:lineTo x="-160" y="21456"/>
                      <wp:lineTo x="21664" y="21456"/>
                      <wp:lineTo x="21664" y="0"/>
                      <wp:lineTo x="-160" y="0"/>
                    </wp:wrapPolygon>
                  </wp:wrapTight>
                  <wp:docPr id="60" name="Obraz 53" descr="P:\STRATEGIA Diagnoza\STRATEGIA\SRWD Materiały\SRWD Mapy\M6. Obszary Funkcjonalne KSRR 2010-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descr="P:\STRATEGIA Diagnoza\STRATEGIA\SRWD Materiały\SRWD Mapy\M6. Obszary Funkcjonalne KSRR 2010-2020.jpg"/>
                          <pic:cNvPicPr>
                            <a:picLocks noChangeAspect="1" noChangeArrowheads="1"/>
                          </pic:cNvPicPr>
                        </pic:nvPicPr>
                        <pic:blipFill>
                          <a:blip r:embed="rId86" cstate="print"/>
                          <a:srcRect/>
                          <a:stretch>
                            <a:fillRect/>
                          </a:stretch>
                        </pic:blipFill>
                        <pic:spPr bwMode="auto">
                          <a:xfrm>
                            <a:off x="0" y="0"/>
                            <a:ext cx="2564130" cy="2378075"/>
                          </a:xfrm>
                          <a:prstGeom prst="rect">
                            <a:avLst/>
                          </a:prstGeom>
                          <a:noFill/>
                          <a:ln w="9525">
                            <a:noFill/>
                            <a:miter lim="800000"/>
                            <a:headEnd/>
                            <a:tailEnd/>
                          </a:ln>
                        </pic:spPr>
                      </pic:pic>
                    </a:graphicData>
                  </a:graphic>
                </wp:anchor>
              </w:drawing>
            </w:r>
            <w:r w:rsidR="00E8515A" w:rsidRPr="00AE35C1">
              <w:t>MAPA</w:t>
            </w:r>
            <w:r w:rsidR="00EC545F" w:rsidRPr="00AE35C1">
              <w:t xml:space="preserve"> </w:t>
            </w:r>
            <w:r w:rsidR="00172F0D" w:rsidRPr="00AE35C1">
              <w:t>3</w:t>
            </w:r>
            <w:r w:rsidR="004964B3">
              <w:t>8</w:t>
            </w:r>
            <w:r w:rsidR="00EC545F" w:rsidRPr="00AE35C1">
              <w:t xml:space="preserve">. OBSZARY STRATEGICZNEJ INTERWENCJI NA TERENIE WOJEWÓDZTWA DOLNOŚLĄSKIEGO. </w:t>
            </w:r>
          </w:p>
          <w:p w:rsidR="00EC545F" w:rsidRPr="00AE35C1" w:rsidRDefault="00852357" w:rsidP="00852357">
            <w:pPr>
              <w:pStyle w:val="RDO"/>
              <w:spacing w:after="0" w:line="288" w:lineRule="auto"/>
              <w:rPr>
                <w:rFonts w:cs="Arial"/>
                <w:color w:val="595959"/>
                <w:sz w:val="19"/>
                <w:szCs w:val="19"/>
              </w:rPr>
            </w:pPr>
            <w:r w:rsidRPr="00AE35C1">
              <w:rPr>
                <w:rFonts w:cs="Arial"/>
                <w:color w:val="000000"/>
              </w:rPr>
              <w:lastRenderedPageBreak/>
              <w:t>Źródło: opracowanie własne IRT na podstawie KSRR 2010-2020.</w:t>
            </w:r>
            <w:r w:rsidR="00EC545F" w:rsidRPr="00AE35C1">
              <w:rPr>
                <w:rFonts w:cs="Arial"/>
                <w:color w:val="000000"/>
              </w:rPr>
              <w:t xml:space="preserve"> </w:t>
            </w:r>
          </w:p>
        </w:tc>
      </w:tr>
    </w:tbl>
    <w:p w:rsidR="00EC545F" w:rsidRPr="00AE35C1" w:rsidRDefault="00641928" w:rsidP="00D41A4A">
      <w:pPr>
        <w:pStyle w:val="Nagwek2"/>
      </w:pPr>
      <w:r w:rsidRPr="00AE35C1">
        <w:lastRenderedPageBreak/>
        <w:t xml:space="preserve"> </w:t>
      </w:r>
      <w:bookmarkStart w:id="59" w:name="_Toc511716325"/>
      <w:r w:rsidRPr="00AE35C1">
        <w:t xml:space="preserve">4.2 </w:t>
      </w:r>
      <w:r w:rsidR="00EC545F" w:rsidRPr="00AE35C1">
        <w:t>POZIOM REGIONALNY</w:t>
      </w:r>
      <w:bookmarkEnd w:id="59"/>
    </w:p>
    <w:tbl>
      <w:tblPr>
        <w:tblW w:w="9479" w:type="dxa"/>
        <w:tblInd w:w="-142" w:type="dxa"/>
        <w:tblLayout w:type="fixed"/>
        <w:tblLook w:val="04A0"/>
      </w:tblPr>
      <w:tblGrid>
        <w:gridCol w:w="4537"/>
        <w:gridCol w:w="4819"/>
        <w:gridCol w:w="123"/>
      </w:tblGrid>
      <w:tr w:rsidR="00807A6F" w:rsidRPr="00AE35C1" w:rsidTr="00FD0968">
        <w:trPr>
          <w:gridAfter w:val="1"/>
          <w:wAfter w:w="123" w:type="dxa"/>
        </w:trPr>
        <w:tc>
          <w:tcPr>
            <w:tcW w:w="4537" w:type="dxa"/>
          </w:tcPr>
          <w:p w:rsidR="00807A6F" w:rsidRPr="00AE35C1" w:rsidRDefault="00807A6F" w:rsidP="00FD0968">
            <w:pPr>
              <w:spacing w:after="0" w:line="288" w:lineRule="auto"/>
              <w:jc w:val="both"/>
              <w:rPr>
                <w:rFonts w:cs="Calibri"/>
                <w:color w:val="000000"/>
                <w:sz w:val="21"/>
                <w:szCs w:val="21"/>
              </w:rPr>
            </w:pPr>
            <w:r w:rsidRPr="00AE35C1">
              <w:rPr>
                <w:rFonts w:cs="Calibri"/>
                <w:b/>
                <w:color w:val="000000"/>
                <w:sz w:val="21"/>
                <w:szCs w:val="21"/>
              </w:rPr>
              <w:t xml:space="preserve">OBSZARY FUNKCJONALNE </w:t>
            </w:r>
            <w:r w:rsidRPr="00AE35C1">
              <w:rPr>
                <w:rFonts w:cs="Calibri"/>
                <w:color w:val="000000"/>
                <w:sz w:val="21"/>
                <w:szCs w:val="21"/>
              </w:rPr>
              <w:t>w projekcie planu zagospodarowania przestrzennego województwa dolnośląskiego</w:t>
            </w:r>
          </w:p>
          <w:p w:rsidR="00807A6F" w:rsidRPr="00AE35C1" w:rsidRDefault="005F2FC7" w:rsidP="005F2FC7">
            <w:pPr>
              <w:spacing w:after="0" w:line="288" w:lineRule="auto"/>
              <w:jc w:val="both"/>
              <w:rPr>
                <w:sz w:val="19"/>
                <w:szCs w:val="19"/>
              </w:rPr>
            </w:pPr>
            <w:r w:rsidRPr="00AE35C1">
              <w:rPr>
                <w:rFonts w:eastAsia="Times New Roman" w:cs="Arial"/>
                <w:color w:val="000000"/>
                <w:sz w:val="21"/>
                <w:szCs w:val="21"/>
                <w:lang w:eastAsia="pl-PL"/>
              </w:rPr>
              <w:t>Jako obszary funkcjonalne o </w:t>
            </w:r>
            <w:r w:rsidR="00807A6F" w:rsidRPr="00AE35C1">
              <w:rPr>
                <w:rFonts w:eastAsia="Times New Roman" w:cs="Arial"/>
                <w:color w:val="000000"/>
                <w:sz w:val="21"/>
                <w:szCs w:val="21"/>
                <w:lang w:eastAsia="pl-PL"/>
              </w:rPr>
              <w:t>znaczeniu ponadregionalnym oraz regionalnym, ze względu na istotne znaczenie dla polityki przestrzennej województwa, ustalone zostały w</w:t>
            </w:r>
            <w:r w:rsidRPr="00AE35C1">
              <w:rPr>
                <w:rFonts w:eastAsia="Times New Roman" w:cs="Arial"/>
                <w:color w:val="000000"/>
                <w:sz w:val="21"/>
                <w:szCs w:val="21"/>
                <w:lang w:eastAsia="pl-PL"/>
              </w:rPr>
              <w:t> </w:t>
            </w:r>
            <w:r w:rsidR="00807A6F" w:rsidRPr="00AE35C1">
              <w:rPr>
                <w:rFonts w:eastAsia="Times New Roman" w:cs="Arial"/>
                <w:color w:val="000000"/>
                <w:sz w:val="21"/>
                <w:szCs w:val="21"/>
                <w:lang w:eastAsia="pl-PL"/>
              </w:rPr>
              <w:t xml:space="preserve">planie zagospodarowania przestrzennego województwa dolnośląskiego: </w:t>
            </w:r>
            <w:r w:rsidR="007C727C" w:rsidRPr="00AE35C1">
              <w:rPr>
                <w:rFonts w:eastAsia="Times New Roman" w:cs="Arial"/>
                <w:color w:val="000000"/>
                <w:sz w:val="21"/>
                <w:szCs w:val="21"/>
                <w:lang w:eastAsia="pl-PL"/>
              </w:rPr>
              <w:t xml:space="preserve">miejski obszar funkcjonalny </w:t>
            </w:r>
            <w:r w:rsidR="00807A6F" w:rsidRPr="00AE35C1">
              <w:rPr>
                <w:rFonts w:eastAsia="Times New Roman" w:cs="Arial"/>
                <w:color w:val="000000"/>
                <w:sz w:val="21"/>
                <w:szCs w:val="21"/>
                <w:lang w:eastAsia="pl-PL"/>
              </w:rPr>
              <w:t xml:space="preserve">ośrodka wojewódzkiego, miejskie obszary funkcjonalne ośrodków regionalnych, obszar przygraniczny, </w:t>
            </w:r>
            <w:r w:rsidR="007C727C" w:rsidRPr="00AE35C1">
              <w:rPr>
                <w:rFonts w:eastAsia="Times New Roman" w:cs="Arial"/>
                <w:color w:val="000000"/>
                <w:sz w:val="21"/>
                <w:szCs w:val="21"/>
                <w:lang w:eastAsia="pl-PL"/>
              </w:rPr>
              <w:t xml:space="preserve">obszar górski, </w:t>
            </w:r>
            <w:r w:rsidR="00807A6F" w:rsidRPr="00AE35C1">
              <w:rPr>
                <w:rFonts w:eastAsia="Times New Roman" w:cs="Arial"/>
                <w:color w:val="000000"/>
                <w:sz w:val="21"/>
                <w:szCs w:val="21"/>
                <w:lang w:eastAsia="pl-PL"/>
              </w:rPr>
              <w:t>obszar cenny przyrodniczo.</w:t>
            </w:r>
          </w:p>
        </w:tc>
        <w:tc>
          <w:tcPr>
            <w:tcW w:w="4819" w:type="dxa"/>
          </w:tcPr>
          <w:p w:rsidR="00807A6F" w:rsidRPr="00AE35C1" w:rsidRDefault="00E8515A" w:rsidP="00A468BC">
            <w:pPr>
              <w:pStyle w:val="MAPA"/>
              <w:pBdr>
                <w:bottom w:val="none" w:sz="0" w:space="0" w:color="auto"/>
              </w:pBdr>
              <w:spacing w:before="0"/>
            </w:pPr>
            <w:r w:rsidRPr="00AE35C1">
              <w:t>MAPA. 3</w:t>
            </w:r>
            <w:r w:rsidR="004964B3">
              <w:t>9</w:t>
            </w:r>
            <w:r w:rsidRPr="00AE35C1">
              <w:t>.</w:t>
            </w:r>
            <w:r w:rsidR="00807A6F" w:rsidRPr="00AE35C1">
              <w:t xml:space="preserve"> MIEJSKIE OBSZARY FUNKCJONALNE.</w:t>
            </w:r>
          </w:p>
          <w:p w:rsidR="00807A6F" w:rsidRPr="00AE35C1" w:rsidRDefault="002C5E02" w:rsidP="00A468BC">
            <w:pPr>
              <w:spacing w:after="0" w:line="288" w:lineRule="auto"/>
              <w:ind w:left="1090" w:hanging="1057"/>
              <w:jc w:val="center"/>
              <w:rPr>
                <w:sz w:val="19"/>
                <w:szCs w:val="19"/>
              </w:rPr>
            </w:pPr>
            <w:r w:rsidRPr="002C5E02">
              <w:rPr>
                <w:noProof/>
                <w:sz w:val="19"/>
                <w:szCs w:val="19"/>
                <w:lang w:eastAsia="pl-PL"/>
              </w:rPr>
              <w:drawing>
                <wp:inline distT="0" distB="0" distL="0" distR="0">
                  <wp:extent cx="2566446" cy="2320119"/>
                  <wp:effectExtent l="0" t="0" r="5715" b="4445"/>
                  <wp:docPr id="98" name="Obraz 98" descr="P:\ PROJEKTY 2017\09 SRWD 2030\04_Grafika\jpg\MOF_16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 PROJEKTY 2017\09 SRWD 2030\04_Grafika\jpg\MOF_160418.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77643" cy="2330241"/>
                          </a:xfrm>
                          <a:prstGeom prst="rect">
                            <a:avLst/>
                          </a:prstGeom>
                          <a:noFill/>
                          <a:ln>
                            <a:noFill/>
                          </a:ln>
                        </pic:spPr>
                      </pic:pic>
                    </a:graphicData>
                  </a:graphic>
                </wp:inline>
              </w:drawing>
            </w:r>
          </w:p>
          <w:p w:rsidR="00807A6F" w:rsidRPr="00AE35C1" w:rsidRDefault="00807A6F" w:rsidP="005F2FC7">
            <w:pPr>
              <w:pStyle w:val="RDO"/>
              <w:spacing w:after="0" w:line="288" w:lineRule="auto"/>
              <w:ind w:left="320"/>
              <w:rPr>
                <w:rFonts w:cs="Arial"/>
                <w:sz w:val="19"/>
                <w:szCs w:val="19"/>
              </w:rPr>
            </w:pPr>
            <w:r w:rsidRPr="00AE35C1">
              <w:rPr>
                <w:rFonts w:cs="Arial"/>
                <w:color w:val="000000"/>
              </w:rPr>
              <w:t>Źródło: Projekt Planu zagospodarowania przestrzennego województwa dolnośląskiego (listopad 2017).</w:t>
            </w:r>
          </w:p>
        </w:tc>
      </w:tr>
      <w:tr w:rsidR="00807A6F" w:rsidRPr="00AE35C1" w:rsidTr="00FD0968">
        <w:tc>
          <w:tcPr>
            <w:tcW w:w="4537" w:type="dxa"/>
          </w:tcPr>
          <w:p w:rsidR="00807A6F" w:rsidRPr="00AE35C1" w:rsidRDefault="00E8515A" w:rsidP="001E71C6">
            <w:pPr>
              <w:pStyle w:val="MAPA"/>
              <w:pBdr>
                <w:bottom w:val="none" w:sz="0" w:space="0" w:color="auto"/>
              </w:pBdr>
              <w:jc w:val="both"/>
            </w:pPr>
            <w:r w:rsidRPr="00AE35C1">
              <w:t xml:space="preserve">MAPA. </w:t>
            </w:r>
            <w:r w:rsidR="004964B3">
              <w:t>40</w:t>
            </w:r>
            <w:r w:rsidRPr="00AE35C1">
              <w:t>.</w:t>
            </w:r>
            <w:r w:rsidR="00807A6F" w:rsidRPr="00AE35C1">
              <w:t xml:space="preserve"> GÓRSKI I PRZYGRANICZNY OBSZAR FUNKCJONALNY.</w:t>
            </w:r>
          </w:p>
          <w:p w:rsidR="00807A6F" w:rsidRPr="00AE35C1" w:rsidRDefault="0055701D" w:rsidP="00FD0968">
            <w:pPr>
              <w:spacing w:after="0" w:line="288" w:lineRule="auto"/>
              <w:rPr>
                <w:rFonts w:ascii="Century Gothic" w:eastAsia="Times New Roman" w:hAnsi="Century Gothic"/>
                <w:iCs/>
                <w:caps/>
                <w:noProof/>
                <w:color w:val="000000"/>
                <w:sz w:val="16"/>
                <w:szCs w:val="16"/>
                <w:lang w:eastAsia="pl-PL"/>
              </w:rPr>
            </w:pPr>
            <w:r>
              <w:rPr>
                <w:rFonts w:ascii="Century Gothic" w:eastAsia="Times New Roman" w:hAnsi="Century Gothic"/>
                <w:iCs/>
                <w:caps/>
                <w:noProof/>
                <w:color w:val="000000"/>
                <w:sz w:val="16"/>
                <w:szCs w:val="16"/>
                <w:lang w:eastAsia="pl-PL"/>
              </w:rPr>
              <w:drawing>
                <wp:anchor distT="0" distB="0" distL="114300" distR="114300" simplePos="0" relativeHeight="251659264" behindDoc="0" locked="0" layoutInCell="1" allowOverlap="1">
                  <wp:simplePos x="0" y="0"/>
                  <wp:positionH relativeFrom="column">
                    <wp:posOffset>1905</wp:posOffset>
                  </wp:positionH>
                  <wp:positionV relativeFrom="paragraph">
                    <wp:posOffset>1835150</wp:posOffset>
                  </wp:positionV>
                  <wp:extent cx="1119505" cy="317500"/>
                  <wp:effectExtent l="19050" t="0" r="4445" b="0"/>
                  <wp:wrapNone/>
                  <wp:docPr id="59"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pic:cNvPicPr>
                            <a:picLocks noChangeAspect="1" noChangeArrowheads="1"/>
                          </pic:cNvPicPr>
                        </pic:nvPicPr>
                        <pic:blipFill>
                          <a:blip r:embed="rId88" cstate="print"/>
                          <a:srcRect l="73389" t="30577" r="4938" b="60104"/>
                          <a:stretch>
                            <a:fillRect/>
                          </a:stretch>
                        </pic:blipFill>
                        <pic:spPr bwMode="auto">
                          <a:xfrm>
                            <a:off x="0" y="0"/>
                            <a:ext cx="1119505" cy="317500"/>
                          </a:xfrm>
                          <a:prstGeom prst="rect">
                            <a:avLst/>
                          </a:prstGeom>
                          <a:noFill/>
                          <a:ln w="9525">
                            <a:noFill/>
                            <a:miter lim="800000"/>
                            <a:headEnd/>
                            <a:tailEnd/>
                          </a:ln>
                        </pic:spPr>
                      </pic:pic>
                    </a:graphicData>
                  </a:graphic>
                </wp:anchor>
              </w:drawing>
            </w:r>
            <w:r>
              <w:rPr>
                <w:rFonts w:ascii="Century Gothic" w:eastAsia="Times New Roman" w:hAnsi="Century Gothic"/>
                <w:iCs/>
                <w:caps/>
                <w:noProof/>
                <w:color w:val="000000"/>
                <w:sz w:val="16"/>
                <w:szCs w:val="16"/>
                <w:lang w:eastAsia="pl-PL"/>
              </w:rPr>
              <w:drawing>
                <wp:inline distT="0" distB="0" distL="0" distR="0">
                  <wp:extent cx="2381250" cy="2162175"/>
                  <wp:effectExtent l="19050" t="0" r="0" b="0"/>
                  <wp:docPr id="47" name="Obraz 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33"/>
                          <pic:cNvPicPr>
                            <a:picLocks noChangeAspect="1" noChangeArrowheads="1"/>
                          </pic:cNvPicPr>
                        </pic:nvPicPr>
                        <pic:blipFill>
                          <a:blip r:embed="rId89" cstate="print"/>
                          <a:srcRect l="1122" t="1697" r="28642" b="1813"/>
                          <a:stretch>
                            <a:fillRect/>
                          </a:stretch>
                        </pic:blipFill>
                        <pic:spPr bwMode="auto">
                          <a:xfrm>
                            <a:off x="0" y="0"/>
                            <a:ext cx="2381250" cy="2162175"/>
                          </a:xfrm>
                          <a:prstGeom prst="rect">
                            <a:avLst/>
                          </a:prstGeom>
                          <a:noFill/>
                          <a:ln w="9525">
                            <a:noFill/>
                            <a:miter lim="800000"/>
                            <a:headEnd/>
                            <a:tailEnd/>
                          </a:ln>
                        </pic:spPr>
                      </pic:pic>
                    </a:graphicData>
                  </a:graphic>
                </wp:inline>
              </w:drawing>
            </w:r>
          </w:p>
        </w:tc>
        <w:tc>
          <w:tcPr>
            <w:tcW w:w="4942" w:type="dxa"/>
            <w:gridSpan w:val="2"/>
          </w:tcPr>
          <w:p w:rsidR="00807A6F" w:rsidRPr="00AE35C1" w:rsidRDefault="00E8515A" w:rsidP="001E71C6">
            <w:pPr>
              <w:pStyle w:val="MAPA"/>
              <w:pBdr>
                <w:bottom w:val="none" w:sz="0" w:space="0" w:color="auto"/>
              </w:pBdr>
              <w:jc w:val="both"/>
            </w:pPr>
            <w:r w:rsidRPr="00AE35C1">
              <w:t xml:space="preserve">MAPA </w:t>
            </w:r>
            <w:r w:rsidR="004964B3">
              <w:t>41</w:t>
            </w:r>
            <w:r w:rsidRPr="00AE35C1">
              <w:t>.</w:t>
            </w:r>
            <w:r w:rsidR="00807A6F" w:rsidRPr="00AE35C1">
              <w:t xml:space="preserve"> OBSZAR FUNKCJONALNY CENNY PRZYRODNICZO.</w:t>
            </w:r>
          </w:p>
          <w:p w:rsidR="00807A6F" w:rsidRPr="00AE35C1" w:rsidRDefault="0055701D" w:rsidP="00FD0968">
            <w:pPr>
              <w:spacing w:after="0" w:line="288" w:lineRule="auto"/>
              <w:ind w:firstLine="147"/>
              <w:jc w:val="center"/>
            </w:pPr>
            <w:r>
              <w:rPr>
                <w:rFonts w:eastAsia="Times New Roman" w:cs="Arial"/>
                <w:noProof/>
                <w:color w:val="FF0000"/>
                <w:lang w:eastAsia="pl-PL"/>
              </w:rPr>
              <w:drawing>
                <wp:anchor distT="0" distB="0" distL="114300" distR="114300" simplePos="0" relativeHeight="251660288" behindDoc="0" locked="0" layoutInCell="1" allowOverlap="1">
                  <wp:simplePos x="0" y="0"/>
                  <wp:positionH relativeFrom="column">
                    <wp:posOffset>97790</wp:posOffset>
                  </wp:positionH>
                  <wp:positionV relativeFrom="paragraph">
                    <wp:posOffset>1377315</wp:posOffset>
                  </wp:positionV>
                  <wp:extent cx="1071245" cy="826770"/>
                  <wp:effectExtent l="19050" t="0" r="0" b="0"/>
                  <wp:wrapNone/>
                  <wp:docPr id="58" name="Obraz 6534" descr="Q:\ZKN - Zespół ds. zasobów naturalnych i kulturowych\01_Projekty\PZPWD_2015\Kierunki\04_Grafika\jpg\strefa_zintegr_ochrony_O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34" descr="Q:\ZKN - Zespół ds. zasobów naturalnych i kulturowych\01_Projekty\PZPWD_2015\Kierunki\04_Grafika\jpg\strefa_zintegr_ochrony_OF_1.jpg"/>
                          <pic:cNvPicPr>
                            <a:picLocks noChangeAspect="1" noChangeArrowheads="1"/>
                          </pic:cNvPicPr>
                        </pic:nvPicPr>
                        <pic:blipFill>
                          <a:blip r:embed="rId90" cstate="print"/>
                          <a:srcRect l="28038" t="81131" r="46371" b="2411"/>
                          <a:stretch>
                            <a:fillRect/>
                          </a:stretch>
                        </pic:blipFill>
                        <pic:spPr bwMode="auto">
                          <a:xfrm>
                            <a:off x="0" y="0"/>
                            <a:ext cx="1071245" cy="826770"/>
                          </a:xfrm>
                          <a:prstGeom prst="rect">
                            <a:avLst/>
                          </a:prstGeom>
                          <a:noFill/>
                          <a:ln w="9525">
                            <a:noFill/>
                            <a:miter lim="800000"/>
                            <a:headEnd/>
                            <a:tailEnd/>
                          </a:ln>
                        </pic:spPr>
                      </pic:pic>
                    </a:graphicData>
                  </a:graphic>
                </wp:anchor>
              </w:drawing>
            </w:r>
            <w:r>
              <w:rPr>
                <w:noProof/>
                <w:lang w:eastAsia="pl-PL"/>
              </w:rPr>
              <w:drawing>
                <wp:inline distT="0" distB="0" distL="0" distR="0">
                  <wp:extent cx="2352675" cy="2162175"/>
                  <wp:effectExtent l="19050" t="0" r="9525" b="0"/>
                  <wp:docPr id="48" name="Obraz 6535" descr="Q:\ZKN - Zespół ds. zasobów naturalnych i kulturowych\01_Projekty\PZPWD_2015\Kierunki\04_Grafika\jpg\strefa_zintegr_ochrony_O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35" descr="Q:\ZKN - Zespół ds. zasobów naturalnych i kulturowych\01_Projekty\PZPWD_2015\Kierunki\04_Grafika\jpg\strefa_zintegr_ochrony_OF_1.jpg"/>
                          <pic:cNvPicPr>
                            <a:picLocks noChangeAspect="1" noChangeArrowheads="1"/>
                          </pic:cNvPicPr>
                        </pic:nvPicPr>
                        <pic:blipFill>
                          <a:blip r:embed="rId91" cstate="print"/>
                          <a:srcRect l="4108" t="3111" r="2879" b="25595"/>
                          <a:stretch>
                            <a:fillRect/>
                          </a:stretch>
                        </pic:blipFill>
                        <pic:spPr bwMode="auto">
                          <a:xfrm>
                            <a:off x="0" y="0"/>
                            <a:ext cx="2352675" cy="2162175"/>
                          </a:xfrm>
                          <a:prstGeom prst="rect">
                            <a:avLst/>
                          </a:prstGeom>
                          <a:noFill/>
                          <a:ln w="9525">
                            <a:noFill/>
                            <a:miter lim="800000"/>
                            <a:headEnd/>
                            <a:tailEnd/>
                          </a:ln>
                        </pic:spPr>
                      </pic:pic>
                    </a:graphicData>
                  </a:graphic>
                </wp:inline>
              </w:drawing>
            </w:r>
          </w:p>
        </w:tc>
      </w:tr>
    </w:tbl>
    <w:p w:rsidR="00EC545F" w:rsidRPr="00AE35C1" w:rsidRDefault="00EC545F" w:rsidP="00765292">
      <w:pPr>
        <w:pStyle w:val="RDO"/>
        <w:spacing w:after="0" w:line="288" w:lineRule="auto"/>
        <w:ind w:left="320"/>
        <w:rPr>
          <w:color w:val="000000"/>
        </w:rPr>
      </w:pPr>
      <w:r w:rsidRPr="00AE35C1">
        <w:rPr>
          <w:color w:val="000000"/>
        </w:rPr>
        <w:t>Źródło: Projekt Planu zagospodarowania przestrzennego województwa dolnośląskiego (listopad 2017).</w:t>
      </w:r>
    </w:p>
    <w:p w:rsidR="00EC545F" w:rsidRDefault="00EC545F" w:rsidP="00765292">
      <w:pPr>
        <w:spacing w:before="200" w:after="60" w:line="288" w:lineRule="auto"/>
        <w:ind w:left="-142"/>
        <w:rPr>
          <w:rFonts w:ascii="Century Gothic" w:hAnsi="Century Gothic"/>
          <w:b/>
          <w:color w:val="000000"/>
          <w:sz w:val="18"/>
          <w:szCs w:val="18"/>
        </w:rPr>
      </w:pPr>
      <w:r w:rsidRPr="00AE35C1">
        <w:rPr>
          <w:rFonts w:ascii="Century Gothic" w:hAnsi="Century Gothic"/>
          <w:b/>
          <w:color w:val="000000"/>
          <w:sz w:val="18"/>
          <w:szCs w:val="18"/>
        </w:rPr>
        <w:t>ROZWÓJ SPOŁECZNY</w:t>
      </w:r>
    </w:p>
    <w:p w:rsidR="007F7B3C" w:rsidRPr="00AE35C1" w:rsidRDefault="00EA25A9" w:rsidP="00A468BC">
      <w:pPr>
        <w:spacing w:line="276" w:lineRule="auto"/>
        <w:ind w:left="-142"/>
        <w:jc w:val="both"/>
        <w:rPr>
          <w:color w:val="000000"/>
          <w:sz w:val="21"/>
          <w:szCs w:val="21"/>
        </w:rPr>
      </w:pPr>
      <w:r w:rsidRPr="00AE35C1">
        <w:rPr>
          <w:color w:val="000000"/>
          <w:sz w:val="21"/>
          <w:szCs w:val="21"/>
        </w:rPr>
        <w:t>W przestrzeni województwa dolnośląskiego najwyższym poziomem rozwoju społecznego (czyli obszarem koncentracji pozytywnych cech społecznych) charakteryzują się gminy miejskie, a także gminy położone w sąsiedztwie większych ośrodków miejskich regionu (Wrocławia, Jeleniej Góry, Wałbrzycha). Najwyższy poziom rozwoju społecznego wykazują gminy miejskie o silnie wykształconej funkcji turystycznej: Karpacz, Polanica-Zdrój, Wrocław, Szczawno-Zdrój, Szklarska Poręba oraz Duszniki-Zdrój. Wysoki poziom rozwoju społecznego odnotowano m.in. w gminach podmiejskich stolicy regionu (Czernica, Siechnice), a także w</w:t>
      </w:r>
      <w:r w:rsidR="007F7B3C">
        <w:rPr>
          <w:color w:val="000000"/>
          <w:sz w:val="21"/>
          <w:szCs w:val="21"/>
        </w:rPr>
        <w:t> </w:t>
      </w:r>
      <w:r w:rsidRPr="00AE35C1">
        <w:rPr>
          <w:color w:val="000000"/>
          <w:sz w:val="21"/>
          <w:szCs w:val="21"/>
        </w:rPr>
        <w:t>miastach Zgorzelec, Bolesławiec i Jelenia Góra. W klasach, gdzie poziom rozwoju społecznego zdefiniowany został jako bardzo wysoki i wysoki znalazło się ponad 25%</w:t>
      </w:r>
      <w:r>
        <w:rPr>
          <w:color w:val="000000"/>
          <w:sz w:val="21"/>
          <w:szCs w:val="21"/>
        </w:rPr>
        <w:t xml:space="preserve"> </w:t>
      </w:r>
      <w:r w:rsidRPr="00AE35C1">
        <w:rPr>
          <w:color w:val="000000"/>
          <w:sz w:val="21"/>
          <w:szCs w:val="21"/>
        </w:rPr>
        <w:t>gmin Dolnego Śląska (43 jednostki, w tym 6 gmin z</w:t>
      </w:r>
      <w:r w:rsidR="00A468BC">
        <w:rPr>
          <w:color w:val="000000"/>
          <w:sz w:val="21"/>
          <w:szCs w:val="21"/>
        </w:rPr>
        <w:t> </w:t>
      </w:r>
      <w:r w:rsidRPr="00AE35C1">
        <w:rPr>
          <w:color w:val="000000"/>
          <w:sz w:val="21"/>
          <w:szCs w:val="21"/>
        </w:rPr>
        <w:t>bardzo wysokim poziomem rozwoju).</w:t>
      </w:r>
      <w:r w:rsidR="007F7B3C">
        <w:rPr>
          <w:color w:val="000000"/>
          <w:sz w:val="21"/>
          <w:szCs w:val="21"/>
        </w:rPr>
        <w:t xml:space="preserve"> </w:t>
      </w:r>
      <w:r w:rsidR="007F7B3C" w:rsidRPr="00AE35C1">
        <w:rPr>
          <w:color w:val="000000"/>
          <w:sz w:val="21"/>
          <w:szCs w:val="21"/>
        </w:rPr>
        <w:t xml:space="preserve">Gminy o bardzo niskim i niskim poziomie rozwoju społecznego to przede wszystkim gminy wiejskie z niewielkim udziałem gmin miejsko-wiejskich. W przestrzeni województwa dolnośląskiego, charakterystyczne jest ich występowanie przede wszystkim w części zachodniej (powiat bolesławiecki, złotoryjski, lubański, zgorzelecki i zachodnia część powiatu legnickiego), północnej (powiat głogowski, górowski, częściowo milicki, trzebnicki, wołowski i oleśnicki) oraz części południowej (z powiatem ząbkowickie, dzierżoniowskim i strzelińskim). Pozostała część obszaru Dolnego Śląska zakwalifikowana została do kategorii gmin o przeciętnym poziomie rozwoju sfery społecznej </w:t>
      </w:r>
      <w:r w:rsidR="007F7B3C" w:rsidRPr="00AE35C1">
        <w:rPr>
          <w:color w:val="000000"/>
          <w:sz w:val="21"/>
          <w:szCs w:val="21"/>
        </w:rPr>
        <w:lastRenderedPageBreak/>
        <w:t>(blisko 59% jednostek). Jednostki administracyjne, w których poziom rozwoju społecznego osiągnął wartość bardzo niską lub niską w stosunku do reszty gmin województwa dolnośląskiego charakteryzują się niedostatecznym rozwojem usług publicznych, a także niższą dostępnością do nich. Przekłada się to bezpośrednio na niższą jakość kapitału społecznego, a tym samym na jakość i standard życia mieszkańców.</w:t>
      </w:r>
    </w:p>
    <w:p w:rsidR="002949AC" w:rsidRPr="002949AC" w:rsidRDefault="002949AC" w:rsidP="00EA25A9">
      <w:pPr>
        <w:spacing w:before="240" w:after="0" w:line="288" w:lineRule="auto"/>
        <w:ind w:left="851" w:hanging="993"/>
        <w:jc w:val="both"/>
        <w:rPr>
          <w:rFonts w:ascii="Century Gothic" w:eastAsia="Times New Roman" w:hAnsi="Century Gothic"/>
          <w:bCs/>
          <w:iCs/>
          <w:caps/>
          <w:noProof/>
          <w:color w:val="000000"/>
          <w:sz w:val="16"/>
          <w:szCs w:val="16"/>
          <w:lang w:eastAsia="pl-PL"/>
        </w:rPr>
      </w:pPr>
      <w:r w:rsidRPr="002949AC">
        <w:rPr>
          <w:rFonts w:ascii="Century Gothic" w:eastAsia="Times New Roman" w:hAnsi="Century Gothic"/>
          <w:bCs/>
          <w:iCs/>
          <w:caps/>
          <w:noProof/>
          <w:color w:val="000000"/>
          <w:sz w:val="16"/>
          <w:szCs w:val="16"/>
          <w:lang w:eastAsia="pl-PL"/>
        </w:rPr>
        <w:t>MAPA 4</w:t>
      </w:r>
      <w:r w:rsidR="004964B3">
        <w:rPr>
          <w:rFonts w:ascii="Century Gothic" w:eastAsia="Times New Roman" w:hAnsi="Century Gothic"/>
          <w:bCs/>
          <w:iCs/>
          <w:caps/>
          <w:noProof/>
          <w:color w:val="000000"/>
          <w:sz w:val="16"/>
          <w:szCs w:val="16"/>
          <w:lang w:eastAsia="pl-PL"/>
        </w:rPr>
        <w:t>2</w:t>
      </w:r>
      <w:r w:rsidRPr="002949AC">
        <w:rPr>
          <w:rFonts w:ascii="Century Gothic" w:eastAsia="Times New Roman" w:hAnsi="Century Gothic"/>
          <w:bCs/>
          <w:iCs/>
          <w:caps/>
          <w:noProof/>
          <w:color w:val="000000"/>
          <w:sz w:val="16"/>
          <w:szCs w:val="16"/>
          <w:lang w:eastAsia="pl-PL"/>
        </w:rPr>
        <w:t xml:space="preserve">. POZIOM ROZWOJU SPOŁECZNEGO </w:t>
      </w:r>
      <w:r w:rsidR="00EA25A9">
        <w:rPr>
          <w:rFonts w:ascii="Century Gothic" w:eastAsia="Times New Roman" w:hAnsi="Century Gothic"/>
          <w:bCs/>
          <w:iCs/>
          <w:caps/>
          <w:noProof/>
          <w:color w:val="000000"/>
          <w:sz w:val="16"/>
          <w:szCs w:val="16"/>
          <w:lang w:eastAsia="pl-PL"/>
        </w:rPr>
        <w:t xml:space="preserve">W </w:t>
      </w:r>
      <w:r w:rsidR="00DD08A0">
        <w:rPr>
          <w:rFonts w:ascii="Century Gothic" w:eastAsia="Times New Roman" w:hAnsi="Century Gothic"/>
          <w:bCs/>
          <w:iCs/>
          <w:caps/>
          <w:noProof/>
          <w:color w:val="000000"/>
          <w:sz w:val="16"/>
          <w:szCs w:val="16"/>
          <w:lang w:eastAsia="pl-PL"/>
        </w:rPr>
        <w:t>sub</w:t>
      </w:r>
      <w:r w:rsidR="00EA25A9">
        <w:rPr>
          <w:rFonts w:ascii="Century Gothic" w:eastAsia="Times New Roman" w:hAnsi="Century Gothic"/>
          <w:bCs/>
          <w:iCs/>
          <w:caps/>
          <w:noProof/>
          <w:color w:val="000000"/>
          <w:sz w:val="16"/>
          <w:szCs w:val="16"/>
          <w:lang w:eastAsia="pl-PL"/>
        </w:rPr>
        <w:t xml:space="preserve">REGIONACH (A) I </w:t>
      </w:r>
      <w:r w:rsidRPr="002949AC">
        <w:rPr>
          <w:rFonts w:ascii="Century Gothic" w:eastAsia="Times New Roman" w:hAnsi="Century Gothic"/>
          <w:bCs/>
          <w:iCs/>
          <w:caps/>
          <w:noProof/>
          <w:color w:val="000000"/>
          <w:sz w:val="16"/>
          <w:szCs w:val="16"/>
          <w:lang w:eastAsia="pl-PL"/>
        </w:rPr>
        <w:t>GMIN</w:t>
      </w:r>
      <w:r w:rsidR="00EA25A9">
        <w:rPr>
          <w:rFonts w:ascii="Century Gothic" w:eastAsia="Times New Roman" w:hAnsi="Century Gothic"/>
          <w:bCs/>
          <w:iCs/>
          <w:caps/>
          <w:noProof/>
          <w:color w:val="000000"/>
          <w:sz w:val="16"/>
          <w:szCs w:val="16"/>
          <w:lang w:eastAsia="pl-PL"/>
        </w:rPr>
        <w:t>ACH (B)</w:t>
      </w:r>
      <w:r w:rsidRPr="002949AC">
        <w:rPr>
          <w:rFonts w:ascii="Century Gothic" w:eastAsia="Times New Roman" w:hAnsi="Century Gothic"/>
          <w:bCs/>
          <w:iCs/>
          <w:caps/>
          <w:noProof/>
          <w:color w:val="000000"/>
          <w:sz w:val="16"/>
          <w:szCs w:val="16"/>
          <w:lang w:eastAsia="pl-PL"/>
        </w:rPr>
        <w:t xml:space="preserve"> WOJEWÓDZTWA DOLNOŚLĄSKIEGO [2015].</w:t>
      </w:r>
    </w:p>
    <w:tbl>
      <w:tblPr>
        <w:tblW w:w="0" w:type="auto"/>
        <w:tblInd w:w="-142" w:type="dxa"/>
        <w:tblLook w:val="04A0"/>
      </w:tblPr>
      <w:tblGrid>
        <w:gridCol w:w="4606"/>
        <w:gridCol w:w="4606"/>
      </w:tblGrid>
      <w:tr w:rsidR="002949AC" w:rsidRPr="002240A5" w:rsidTr="002240A5">
        <w:tc>
          <w:tcPr>
            <w:tcW w:w="4606" w:type="dxa"/>
            <w:shd w:val="clear" w:color="auto" w:fill="auto"/>
          </w:tcPr>
          <w:p w:rsidR="00EA25A9" w:rsidRPr="002240A5" w:rsidRDefault="00EA25A9" w:rsidP="002240A5">
            <w:pPr>
              <w:spacing w:after="0" w:line="288" w:lineRule="auto"/>
              <w:rPr>
                <w:color w:val="000000"/>
                <w:sz w:val="16"/>
                <w:szCs w:val="16"/>
              </w:rPr>
            </w:pPr>
            <w:r w:rsidRPr="002240A5">
              <w:rPr>
                <w:color w:val="000000"/>
                <w:sz w:val="16"/>
                <w:szCs w:val="16"/>
              </w:rPr>
              <w:t>A</w:t>
            </w:r>
          </w:p>
          <w:p w:rsidR="00EA25A9" w:rsidRPr="002240A5" w:rsidRDefault="0055701D" w:rsidP="002240A5">
            <w:pPr>
              <w:spacing w:after="0" w:line="288" w:lineRule="auto"/>
              <w:rPr>
                <w:color w:val="000000"/>
                <w:sz w:val="21"/>
                <w:szCs w:val="21"/>
              </w:rPr>
            </w:pPr>
            <w:r>
              <w:rPr>
                <w:noProof/>
                <w:lang w:eastAsia="pl-PL"/>
              </w:rPr>
              <w:drawing>
                <wp:anchor distT="0" distB="0" distL="114300" distR="114300" simplePos="0" relativeHeight="251663360" behindDoc="0" locked="0" layoutInCell="1" allowOverlap="1">
                  <wp:simplePos x="0" y="0"/>
                  <wp:positionH relativeFrom="column">
                    <wp:posOffset>2442210</wp:posOffset>
                  </wp:positionH>
                  <wp:positionV relativeFrom="paragraph">
                    <wp:posOffset>1518920</wp:posOffset>
                  </wp:positionV>
                  <wp:extent cx="963295" cy="865505"/>
                  <wp:effectExtent l="19050" t="0" r="8255" b="0"/>
                  <wp:wrapNone/>
                  <wp:docPr id="57"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92" cstate="print"/>
                          <a:srcRect t="65105" r="65005"/>
                          <a:stretch>
                            <a:fillRect/>
                          </a:stretch>
                        </pic:blipFill>
                        <pic:spPr bwMode="auto">
                          <a:xfrm>
                            <a:off x="0" y="0"/>
                            <a:ext cx="963295" cy="865505"/>
                          </a:xfrm>
                          <a:prstGeom prst="rect">
                            <a:avLst/>
                          </a:prstGeom>
                          <a:noFill/>
                          <a:ln w="9525">
                            <a:noFill/>
                            <a:miter lim="800000"/>
                            <a:headEnd/>
                            <a:tailEnd/>
                          </a:ln>
                        </pic:spPr>
                      </pic:pic>
                    </a:graphicData>
                  </a:graphic>
                </wp:anchor>
              </w:drawing>
            </w:r>
            <w:r>
              <w:rPr>
                <w:noProof/>
                <w:color w:val="000000"/>
                <w:sz w:val="21"/>
                <w:szCs w:val="21"/>
                <w:lang w:eastAsia="pl-PL"/>
              </w:rPr>
              <w:drawing>
                <wp:inline distT="0" distB="0" distL="0" distR="0">
                  <wp:extent cx="2591034" cy="2340000"/>
                  <wp:effectExtent l="0" t="0" r="0" b="3175"/>
                  <wp:docPr id="49" name="Obraz 49" descr="WSpol_NTS3_ESTYM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Spol_NTS3_ESTYMACJA"/>
                          <pic:cNvPicPr>
                            <a:picLocks noChangeAspect="1" noChangeArrowheads="1"/>
                          </pic:cNvPicPr>
                        </pic:nvPicPr>
                        <pic:blipFill>
                          <a:blip r:embed="rId93" cstate="print"/>
                          <a:srcRect/>
                          <a:stretch>
                            <a:fillRect/>
                          </a:stretch>
                        </pic:blipFill>
                        <pic:spPr bwMode="auto">
                          <a:xfrm>
                            <a:off x="0" y="0"/>
                            <a:ext cx="2591034" cy="2340000"/>
                          </a:xfrm>
                          <a:prstGeom prst="rect">
                            <a:avLst/>
                          </a:prstGeom>
                          <a:noFill/>
                          <a:ln w="9525">
                            <a:noFill/>
                            <a:miter lim="800000"/>
                            <a:headEnd/>
                            <a:tailEnd/>
                          </a:ln>
                        </pic:spPr>
                      </pic:pic>
                    </a:graphicData>
                  </a:graphic>
                </wp:inline>
              </w:drawing>
            </w:r>
          </w:p>
        </w:tc>
        <w:tc>
          <w:tcPr>
            <w:tcW w:w="4606" w:type="dxa"/>
            <w:shd w:val="clear" w:color="auto" w:fill="auto"/>
          </w:tcPr>
          <w:p w:rsidR="002949AC" w:rsidRPr="002240A5" w:rsidRDefault="00EA25A9" w:rsidP="002240A5">
            <w:pPr>
              <w:spacing w:after="0" w:line="240" w:lineRule="auto"/>
              <w:jc w:val="both"/>
              <w:rPr>
                <w:rFonts w:cs="Arial"/>
                <w:noProof/>
                <w:color w:val="000000"/>
                <w:sz w:val="16"/>
                <w:szCs w:val="16"/>
              </w:rPr>
            </w:pPr>
            <w:r w:rsidRPr="002240A5">
              <w:rPr>
                <w:rFonts w:cs="Arial"/>
                <w:noProof/>
                <w:color w:val="000000"/>
                <w:sz w:val="16"/>
                <w:szCs w:val="16"/>
              </w:rPr>
              <w:t>B</w:t>
            </w:r>
          </w:p>
          <w:p w:rsidR="00EA25A9" w:rsidRPr="002240A5" w:rsidRDefault="0055701D" w:rsidP="002240A5">
            <w:pPr>
              <w:spacing w:after="0" w:line="288" w:lineRule="auto"/>
              <w:jc w:val="both"/>
              <w:rPr>
                <w:color w:val="000000"/>
                <w:sz w:val="21"/>
                <w:szCs w:val="21"/>
              </w:rPr>
            </w:pPr>
            <w:r>
              <w:rPr>
                <w:noProof/>
                <w:color w:val="000000"/>
                <w:sz w:val="21"/>
                <w:szCs w:val="21"/>
                <w:lang w:eastAsia="pl-PL"/>
              </w:rPr>
              <w:drawing>
                <wp:inline distT="0" distB="0" distL="0" distR="0">
                  <wp:extent cx="2591034" cy="2340000"/>
                  <wp:effectExtent l="0" t="0" r="0" b="3175"/>
                  <wp:docPr id="50" name="Obraz 50" descr="WSpol_naturalna przerwa_NTS3_090218_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Spol_naturalna przerwa_NTS3_090218_tekst"/>
                          <pic:cNvPicPr>
                            <a:picLocks noChangeAspect="1" noChangeArrowheads="1"/>
                          </pic:cNvPicPr>
                        </pic:nvPicPr>
                        <pic:blipFill>
                          <a:blip r:embed="rId94" cstate="print"/>
                          <a:srcRect/>
                          <a:stretch>
                            <a:fillRect/>
                          </a:stretch>
                        </pic:blipFill>
                        <pic:spPr bwMode="auto">
                          <a:xfrm>
                            <a:off x="0" y="0"/>
                            <a:ext cx="2591034" cy="2340000"/>
                          </a:xfrm>
                          <a:prstGeom prst="rect">
                            <a:avLst/>
                          </a:prstGeom>
                          <a:noFill/>
                          <a:ln w="9525">
                            <a:noFill/>
                            <a:miter lim="800000"/>
                            <a:headEnd/>
                            <a:tailEnd/>
                          </a:ln>
                        </pic:spPr>
                      </pic:pic>
                    </a:graphicData>
                  </a:graphic>
                </wp:inline>
              </w:drawing>
            </w:r>
          </w:p>
        </w:tc>
      </w:tr>
    </w:tbl>
    <w:p w:rsidR="002949AC" w:rsidRPr="00EA25A9" w:rsidRDefault="00EA25A9" w:rsidP="00765292">
      <w:pPr>
        <w:spacing w:line="288" w:lineRule="auto"/>
        <w:ind w:left="-142"/>
        <w:jc w:val="both"/>
        <w:rPr>
          <w:rFonts w:eastAsia="Times New Roman"/>
          <w:i/>
          <w:color w:val="000000"/>
          <w:sz w:val="16"/>
          <w:szCs w:val="16"/>
          <w:lang w:eastAsia="pl-PL"/>
        </w:rPr>
      </w:pPr>
      <w:r w:rsidRPr="00EA25A9">
        <w:rPr>
          <w:rFonts w:eastAsia="Times New Roman"/>
          <w:i/>
          <w:color w:val="000000"/>
          <w:sz w:val="16"/>
          <w:szCs w:val="16"/>
          <w:lang w:eastAsia="pl-PL"/>
        </w:rPr>
        <w:t>Źródło: opracowanie własne IRT na podstawie danych GUS.</w:t>
      </w:r>
    </w:p>
    <w:p w:rsidR="00EC545F" w:rsidRPr="00AE35C1" w:rsidRDefault="00EC545F" w:rsidP="00765292">
      <w:pPr>
        <w:spacing w:before="200" w:after="60" w:line="288" w:lineRule="auto"/>
        <w:ind w:left="-142"/>
        <w:rPr>
          <w:rFonts w:ascii="Century Gothic" w:hAnsi="Century Gothic"/>
          <w:b/>
          <w:color w:val="000000"/>
          <w:sz w:val="18"/>
          <w:szCs w:val="18"/>
        </w:rPr>
      </w:pPr>
      <w:r w:rsidRPr="00AE35C1">
        <w:rPr>
          <w:rFonts w:ascii="Century Gothic" w:hAnsi="Century Gothic"/>
          <w:b/>
          <w:color w:val="000000"/>
          <w:sz w:val="18"/>
          <w:szCs w:val="18"/>
        </w:rPr>
        <w:t>ROZWÓJ GOSPODARCZY</w:t>
      </w:r>
    </w:p>
    <w:p w:rsidR="00C22CEB" w:rsidRDefault="007F7B3C" w:rsidP="00A468BC">
      <w:pPr>
        <w:pStyle w:val="TABELA"/>
        <w:spacing w:before="0" w:after="120" w:line="276" w:lineRule="auto"/>
        <w:ind w:left="-142"/>
        <w:rPr>
          <w:rFonts w:ascii="Calibri" w:hAnsi="Calibri"/>
          <w:color w:val="000000"/>
          <w:sz w:val="21"/>
          <w:szCs w:val="21"/>
        </w:rPr>
      </w:pPr>
      <w:r w:rsidRPr="007F7B3C">
        <w:rPr>
          <w:rFonts w:ascii="Calibri" w:hAnsi="Calibri"/>
          <w:color w:val="000000"/>
          <w:sz w:val="21"/>
          <w:szCs w:val="21"/>
        </w:rPr>
        <w:t>Na Dolnym Śląsku można zaobserwować duże zróżnicowanie przestrzenne poziomu rozwoju sfery gospodarczej. Pasma i obszary odznaczające się bardzo wysokim poziomem rozwoju gospodarczego zlokalizowane są wokół największych ośrodków miejskich oraz wzdłuż najważniejszych korytarzy komunikacyjnych. Koncentracją pozytywnych dla rozwoju gospodarczego cech regionu charakteryzuje się stolica regionu – miasto Wrocław wraz z sąsiadującymi z nim gminami, w tym w szczególności w powiecie wrocławskim (gminy: Czernica, Długołęka, Kąty Wrocławskie, Kobierzyce i Siechnice). Wysokim poziomem rozwoju gospodarczego odznaczają się również:</w:t>
      </w:r>
      <w:r>
        <w:rPr>
          <w:rFonts w:ascii="Calibri" w:hAnsi="Calibri"/>
          <w:color w:val="000000"/>
          <w:sz w:val="21"/>
          <w:szCs w:val="21"/>
        </w:rPr>
        <w:t xml:space="preserve"> </w:t>
      </w:r>
      <w:r w:rsidR="00765292" w:rsidRPr="00AE35C1">
        <w:rPr>
          <w:rFonts w:ascii="Calibri" w:hAnsi="Calibri"/>
          <w:color w:val="000000"/>
          <w:sz w:val="21"/>
          <w:szCs w:val="21"/>
        </w:rPr>
        <w:t xml:space="preserve">Pasmo </w:t>
      </w:r>
      <w:r w:rsidR="00516F4C" w:rsidRPr="00AE35C1">
        <w:rPr>
          <w:rFonts w:ascii="Calibri" w:hAnsi="Calibri"/>
          <w:color w:val="000000"/>
          <w:sz w:val="21"/>
          <w:szCs w:val="21"/>
        </w:rPr>
        <w:t xml:space="preserve">Głogów-Polkowice-Lubin-Legnica oraz obszary wokół Bolesławca, Jeleniej Góry oraz Wałbrzycha. </w:t>
      </w:r>
      <w:r w:rsidR="00331B1F" w:rsidRPr="00AE35C1">
        <w:rPr>
          <w:rFonts w:ascii="Calibri" w:hAnsi="Calibri"/>
          <w:color w:val="000000"/>
          <w:sz w:val="21"/>
          <w:szCs w:val="21"/>
        </w:rPr>
        <w:t>Natomiast koncentracja negatywnych dla rozwoju gospoda</w:t>
      </w:r>
      <w:r w:rsidR="005F2FC7" w:rsidRPr="00AE35C1">
        <w:rPr>
          <w:rFonts w:ascii="Calibri" w:hAnsi="Calibri"/>
          <w:color w:val="000000"/>
          <w:sz w:val="21"/>
          <w:szCs w:val="21"/>
        </w:rPr>
        <w:t>rczego cech występuje głównie w </w:t>
      </w:r>
      <w:r w:rsidR="00331B1F" w:rsidRPr="00AE35C1">
        <w:rPr>
          <w:rFonts w:ascii="Calibri" w:hAnsi="Calibri"/>
          <w:color w:val="000000"/>
          <w:sz w:val="21"/>
          <w:szCs w:val="21"/>
        </w:rPr>
        <w:t>gminach północnej części województwa dolnośląskiego, w</w:t>
      </w:r>
      <w:r>
        <w:rPr>
          <w:rFonts w:ascii="Calibri" w:hAnsi="Calibri"/>
          <w:color w:val="000000"/>
          <w:sz w:val="21"/>
          <w:szCs w:val="21"/>
        </w:rPr>
        <w:t> </w:t>
      </w:r>
      <w:r w:rsidR="00331B1F" w:rsidRPr="00AE35C1">
        <w:rPr>
          <w:rFonts w:ascii="Calibri" w:hAnsi="Calibri"/>
          <w:color w:val="000000"/>
          <w:sz w:val="21"/>
          <w:szCs w:val="21"/>
        </w:rPr>
        <w:t>powiatach głogowskim i górowskim oraz w</w:t>
      </w:r>
      <w:r w:rsidR="005F2FC7" w:rsidRPr="00AE35C1">
        <w:rPr>
          <w:rFonts w:ascii="Calibri" w:hAnsi="Calibri"/>
          <w:color w:val="000000"/>
          <w:sz w:val="21"/>
          <w:szCs w:val="21"/>
        </w:rPr>
        <w:t> </w:t>
      </w:r>
      <w:r w:rsidR="00331B1F" w:rsidRPr="00AE35C1">
        <w:rPr>
          <w:rFonts w:ascii="Calibri" w:hAnsi="Calibri"/>
          <w:color w:val="000000"/>
          <w:sz w:val="21"/>
          <w:szCs w:val="21"/>
        </w:rPr>
        <w:t>powiatach złotoryjskim, lwóweckim i południowej części powiatu jaworskiego, a także w</w:t>
      </w:r>
      <w:r w:rsidR="00A468BC">
        <w:rPr>
          <w:rFonts w:ascii="Calibri" w:hAnsi="Calibri"/>
          <w:color w:val="000000"/>
          <w:sz w:val="21"/>
          <w:szCs w:val="21"/>
        </w:rPr>
        <w:t> </w:t>
      </w:r>
      <w:r w:rsidR="00331B1F" w:rsidRPr="00AE35C1">
        <w:rPr>
          <w:rFonts w:ascii="Calibri" w:hAnsi="Calibri"/>
          <w:color w:val="000000"/>
          <w:sz w:val="21"/>
          <w:szCs w:val="21"/>
        </w:rPr>
        <w:t>zachodniej części kotliny Kłodzkiej.</w:t>
      </w:r>
      <w:r w:rsidR="00AD74A9" w:rsidRPr="00AE35C1">
        <w:rPr>
          <w:rFonts w:ascii="Calibri" w:hAnsi="Calibri"/>
          <w:color w:val="000000"/>
          <w:sz w:val="21"/>
          <w:szCs w:val="21"/>
        </w:rPr>
        <w:t xml:space="preserve"> </w:t>
      </w:r>
    </w:p>
    <w:p w:rsidR="007F7B3C" w:rsidRPr="00AE35C1" w:rsidRDefault="007F7B3C" w:rsidP="007F7B3C">
      <w:pPr>
        <w:pStyle w:val="MAPA"/>
        <w:pBdr>
          <w:bottom w:val="none" w:sz="0" w:space="0" w:color="auto"/>
        </w:pBdr>
        <w:ind w:hanging="885"/>
        <w:jc w:val="both"/>
        <w:rPr>
          <w:bCs/>
        </w:rPr>
      </w:pPr>
      <w:bookmarkStart w:id="60" w:name="_Toc491437966"/>
      <w:r w:rsidRPr="00AE35C1">
        <w:rPr>
          <w:bCs/>
        </w:rPr>
        <w:t>MAPA 4</w:t>
      </w:r>
      <w:r w:rsidR="004964B3">
        <w:rPr>
          <w:bCs/>
        </w:rPr>
        <w:t>3</w:t>
      </w:r>
      <w:r w:rsidRPr="00AE35C1">
        <w:rPr>
          <w:bCs/>
        </w:rPr>
        <w:t xml:space="preserve">.  POZIOM ROZWOJU GOSPODARCZEGO </w:t>
      </w:r>
      <w:r w:rsidR="00DD08A0">
        <w:rPr>
          <w:bCs/>
        </w:rPr>
        <w:t>w subregionach [a] i w gminach [b]</w:t>
      </w:r>
      <w:r w:rsidRPr="00AE35C1">
        <w:rPr>
          <w:bCs/>
        </w:rPr>
        <w:t xml:space="preserve"> WOJEWÓDZTWA DOLNOŚLĄSKIEGO [2015].</w:t>
      </w:r>
      <w:bookmarkEnd w:id="60"/>
    </w:p>
    <w:tbl>
      <w:tblPr>
        <w:tblW w:w="0" w:type="auto"/>
        <w:tblInd w:w="-142" w:type="dxa"/>
        <w:tblLook w:val="04A0"/>
      </w:tblPr>
      <w:tblGrid>
        <w:gridCol w:w="4606"/>
        <w:gridCol w:w="4606"/>
      </w:tblGrid>
      <w:tr w:rsidR="007F7B3C" w:rsidRPr="002240A5" w:rsidTr="002240A5">
        <w:tc>
          <w:tcPr>
            <w:tcW w:w="4606" w:type="dxa"/>
            <w:shd w:val="clear" w:color="auto" w:fill="auto"/>
          </w:tcPr>
          <w:p w:rsidR="007F7B3C" w:rsidRPr="00A468BC" w:rsidRDefault="007F7B3C" w:rsidP="002240A5">
            <w:pPr>
              <w:pStyle w:val="TABELA"/>
              <w:spacing w:before="0" w:after="0" w:line="288" w:lineRule="auto"/>
              <w:rPr>
                <w:rFonts w:ascii="Calibri" w:hAnsi="Calibri"/>
                <w:color w:val="000000"/>
                <w:szCs w:val="16"/>
              </w:rPr>
            </w:pPr>
            <w:r w:rsidRPr="00A468BC">
              <w:rPr>
                <w:rFonts w:ascii="Calibri" w:hAnsi="Calibri"/>
                <w:color w:val="000000"/>
                <w:szCs w:val="16"/>
              </w:rPr>
              <w:t>A</w:t>
            </w:r>
          </w:p>
          <w:p w:rsidR="007F7B3C" w:rsidRPr="00A468BC" w:rsidRDefault="0055701D" w:rsidP="002240A5">
            <w:pPr>
              <w:pStyle w:val="TABELA"/>
              <w:spacing w:before="0" w:after="0" w:line="288" w:lineRule="auto"/>
              <w:rPr>
                <w:rFonts w:ascii="Calibri" w:hAnsi="Calibri"/>
                <w:color w:val="000000"/>
                <w:szCs w:val="16"/>
              </w:rPr>
            </w:pPr>
            <w:r w:rsidRPr="00A468BC">
              <w:rPr>
                <w:noProof/>
                <w:szCs w:val="16"/>
                <w:lang w:eastAsia="pl-PL"/>
              </w:rPr>
              <w:lastRenderedPageBreak/>
              <w:drawing>
                <wp:anchor distT="0" distB="0" distL="114300" distR="114300" simplePos="0" relativeHeight="251664384" behindDoc="0" locked="0" layoutInCell="1" allowOverlap="1">
                  <wp:simplePos x="0" y="0"/>
                  <wp:positionH relativeFrom="column">
                    <wp:posOffset>2447290</wp:posOffset>
                  </wp:positionH>
                  <wp:positionV relativeFrom="paragraph">
                    <wp:posOffset>1635125</wp:posOffset>
                  </wp:positionV>
                  <wp:extent cx="956945" cy="798830"/>
                  <wp:effectExtent l="19050" t="0" r="0" b="0"/>
                  <wp:wrapNone/>
                  <wp:docPr id="5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95" cstate="print"/>
                          <a:srcRect t="65335" r="62531"/>
                          <a:stretch>
                            <a:fillRect/>
                          </a:stretch>
                        </pic:blipFill>
                        <pic:spPr bwMode="auto">
                          <a:xfrm>
                            <a:off x="0" y="0"/>
                            <a:ext cx="956945" cy="798830"/>
                          </a:xfrm>
                          <a:prstGeom prst="rect">
                            <a:avLst/>
                          </a:prstGeom>
                          <a:noFill/>
                          <a:ln w="9525">
                            <a:noFill/>
                            <a:miter lim="800000"/>
                            <a:headEnd/>
                            <a:tailEnd/>
                          </a:ln>
                        </pic:spPr>
                      </pic:pic>
                    </a:graphicData>
                  </a:graphic>
                </wp:anchor>
              </w:drawing>
            </w:r>
            <w:r w:rsidRPr="00A468BC">
              <w:rPr>
                <w:rFonts w:ascii="Calibri" w:hAnsi="Calibri"/>
                <w:noProof/>
                <w:color w:val="000000"/>
                <w:szCs w:val="16"/>
                <w:lang w:eastAsia="pl-PL"/>
              </w:rPr>
              <w:drawing>
                <wp:inline distT="0" distB="0" distL="0" distR="0">
                  <wp:extent cx="2591034" cy="2340000"/>
                  <wp:effectExtent l="0" t="0" r="0" b="3175"/>
                  <wp:docPr id="51" name="Obraz 51" descr="WGosp_NTS3_ESTYM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Gosp_NTS3_ESTYMACJA"/>
                          <pic:cNvPicPr>
                            <a:picLocks noChangeAspect="1" noChangeArrowheads="1"/>
                          </pic:cNvPicPr>
                        </pic:nvPicPr>
                        <pic:blipFill>
                          <a:blip r:embed="rId96" cstate="print"/>
                          <a:srcRect/>
                          <a:stretch>
                            <a:fillRect/>
                          </a:stretch>
                        </pic:blipFill>
                        <pic:spPr bwMode="auto">
                          <a:xfrm>
                            <a:off x="0" y="0"/>
                            <a:ext cx="2591034" cy="2340000"/>
                          </a:xfrm>
                          <a:prstGeom prst="rect">
                            <a:avLst/>
                          </a:prstGeom>
                          <a:noFill/>
                          <a:ln w="9525">
                            <a:noFill/>
                            <a:miter lim="800000"/>
                            <a:headEnd/>
                            <a:tailEnd/>
                          </a:ln>
                        </pic:spPr>
                      </pic:pic>
                    </a:graphicData>
                  </a:graphic>
                </wp:inline>
              </w:drawing>
            </w:r>
          </w:p>
        </w:tc>
        <w:tc>
          <w:tcPr>
            <w:tcW w:w="4606" w:type="dxa"/>
            <w:shd w:val="clear" w:color="auto" w:fill="auto"/>
          </w:tcPr>
          <w:p w:rsidR="007F7B3C" w:rsidRPr="00A468BC" w:rsidRDefault="007F7B3C" w:rsidP="002240A5">
            <w:pPr>
              <w:pStyle w:val="TABELA"/>
              <w:spacing w:before="0" w:after="0" w:line="288" w:lineRule="auto"/>
              <w:rPr>
                <w:rFonts w:ascii="Calibri" w:hAnsi="Calibri"/>
                <w:color w:val="000000"/>
                <w:szCs w:val="16"/>
              </w:rPr>
            </w:pPr>
            <w:r w:rsidRPr="00A468BC">
              <w:rPr>
                <w:rFonts w:ascii="Calibri" w:hAnsi="Calibri"/>
                <w:color w:val="000000"/>
                <w:szCs w:val="16"/>
              </w:rPr>
              <w:lastRenderedPageBreak/>
              <w:t>B</w:t>
            </w:r>
          </w:p>
          <w:p w:rsidR="007F7B3C" w:rsidRPr="00A468BC" w:rsidRDefault="0055701D" w:rsidP="002240A5">
            <w:pPr>
              <w:pStyle w:val="TABELA"/>
              <w:spacing w:before="0" w:after="0" w:line="288" w:lineRule="auto"/>
              <w:rPr>
                <w:rFonts w:ascii="Calibri" w:hAnsi="Calibri"/>
                <w:color w:val="000000"/>
                <w:szCs w:val="16"/>
              </w:rPr>
            </w:pPr>
            <w:r w:rsidRPr="00A468BC">
              <w:rPr>
                <w:rFonts w:ascii="Calibri" w:hAnsi="Calibri"/>
                <w:noProof/>
                <w:color w:val="000000"/>
                <w:szCs w:val="16"/>
                <w:lang w:eastAsia="pl-PL"/>
              </w:rPr>
              <w:lastRenderedPageBreak/>
              <w:drawing>
                <wp:inline distT="0" distB="0" distL="0" distR="0">
                  <wp:extent cx="2622924" cy="2368800"/>
                  <wp:effectExtent l="0" t="0" r="6350" b="0"/>
                  <wp:docPr id="52" name="Obraz 52" descr="WGosp_naturalna przerwa_NTS3_090218_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Gosp_naturalna przerwa_NTS3_090218_tekst"/>
                          <pic:cNvPicPr>
                            <a:picLocks noChangeAspect="1" noChangeArrowheads="1"/>
                          </pic:cNvPicPr>
                        </pic:nvPicPr>
                        <pic:blipFill>
                          <a:blip r:embed="rId97" cstate="print"/>
                          <a:srcRect/>
                          <a:stretch>
                            <a:fillRect/>
                          </a:stretch>
                        </pic:blipFill>
                        <pic:spPr bwMode="auto">
                          <a:xfrm>
                            <a:off x="0" y="0"/>
                            <a:ext cx="2622924" cy="2368800"/>
                          </a:xfrm>
                          <a:prstGeom prst="rect">
                            <a:avLst/>
                          </a:prstGeom>
                          <a:noFill/>
                          <a:ln w="9525">
                            <a:noFill/>
                            <a:miter lim="800000"/>
                            <a:headEnd/>
                            <a:tailEnd/>
                          </a:ln>
                        </pic:spPr>
                      </pic:pic>
                    </a:graphicData>
                  </a:graphic>
                </wp:inline>
              </w:drawing>
            </w:r>
          </w:p>
        </w:tc>
      </w:tr>
    </w:tbl>
    <w:p w:rsidR="007F7B3C" w:rsidRPr="007F7B3C" w:rsidRDefault="007F7B3C" w:rsidP="00D47236">
      <w:pPr>
        <w:pStyle w:val="TABELA"/>
        <w:spacing w:before="0" w:after="120" w:line="288" w:lineRule="auto"/>
        <w:ind w:left="-142"/>
        <w:rPr>
          <w:rFonts w:ascii="Calibri" w:eastAsia="Times New Roman" w:hAnsi="Calibri"/>
          <w:bCs w:val="0"/>
          <w:i/>
          <w:iCs w:val="0"/>
          <w:color w:val="000000"/>
          <w:szCs w:val="16"/>
          <w:lang w:eastAsia="pl-PL"/>
        </w:rPr>
      </w:pPr>
      <w:r w:rsidRPr="007F7B3C">
        <w:rPr>
          <w:rFonts w:ascii="Calibri" w:eastAsia="Times New Roman" w:hAnsi="Calibri"/>
          <w:bCs w:val="0"/>
          <w:i/>
          <w:iCs w:val="0"/>
          <w:color w:val="000000"/>
          <w:szCs w:val="16"/>
          <w:lang w:eastAsia="pl-PL"/>
        </w:rPr>
        <w:lastRenderedPageBreak/>
        <w:t>Źródło: opracowanie własne IRT na podstawie danych GUS.</w:t>
      </w:r>
    </w:p>
    <w:p w:rsidR="00EC545F" w:rsidRPr="00AE35C1" w:rsidRDefault="00641928" w:rsidP="007F7B3C">
      <w:pPr>
        <w:pStyle w:val="Nagwek2"/>
        <w:spacing w:before="240"/>
        <w:rPr>
          <w:caps w:val="0"/>
        </w:rPr>
      </w:pPr>
      <w:r w:rsidRPr="00AE35C1">
        <w:t xml:space="preserve"> </w:t>
      </w:r>
      <w:bookmarkStart w:id="61" w:name="_Toc511716326"/>
      <w:r w:rsidRPr="00AE35C1">
        <w:t xml:space="preserve">4.3 </w:t>
      </w:r>
      <w:r w:rsidR="00C32CB9" w:rsidRPr="00AE35C1">
        <w:t xml:space="preserve">MACIERZ KIERUNKÓW </w:t>
      </w:r>
      <w:r w:rsidR="00C32CB9" w:rsidRPr="00AE35C1">
        <w:rPr>
          <w:caps w:val="0"/>
        </w:rPr>
        <w:t>INTERWENCJI</w:t>
      </w:r>
      <w:bookmarkEnd w:id="61"/>
      <w:r w:rsidR="00C32CB9" w:rsidRPr="00AE35C1">
        <w:rPr>
          <w:caps w:val="0"/>
        </w:rPr>
        <w:t xml:space="preserve"> </w:t>
      </w:r>
    </w:p>
    <w:p w:rsidR="00785A3E" w:rsidRPr="00AE35C1" w:rsidRDefault="00E7438A" w:rsidP="00E7438A">
      <w:pPr>
        <w:jc w:val="both"/>
        <w:rPr>
          <w:color w:val="000000"/>
          <w:sz w:val="21"/>
          <w:szCs w:val="21"/>
        </w:rPr>
      </w:pPr>
      <w:r w:rsidRPr="00AE35C1">
        <w:rPr>
          <w:color w:val="000000"/>
          <w:sz w:val="21"/>
          <w:szCs w:val="21"/>
        </w:rPr>
        <w:t>Skuteczna realizacja polityki rozwoju zależy od zdefiniowania priorytetów wśród celów oper</w:t>
      </w:r>
      <w:r w:rsidR="005F2FC7" w:rsidRPr="00AE35C1">
        <w:rPr>
          <w:color w:val="000000"/>
          <w:sz w:val="21"/>
          <w:szCs w:val="21"/>
        </w:rPr>
        <w:t>acyjnych i </w:t>
      </w:r>
      <w:r w:rsidRPr="00AE35C1">
        <w:rPr>
          <w:color w:val="000000"/>
          <w:sz w:val="21"/>
          <w:szCs w:val="21"/>
        </w:rPr>
        <w:t>ich terytorialnego przyporządkowania, uwzględniającego cha</w:t>
      </w:r>
      <w:r w:rsidR="005F2FC7" w:rsidRPr="00AE35C1">
        <w:rPr>
          <w:color w:val="000000"/>
          <w:sz w:val="21"/>
          <w:szCs w:val="21"/>
        </w:rPr>
        <w:t>rakter niezbędnej interwencji i </w:t>
      </w:r>
      <w:r w:rsidRPr="00AE35C1">
        <w:rPr>
          <w:color w:val="000000"/>
          <w:sz w:val="21"/>
          <w:szCs w:val="21"/>
        </w:rPr>
        <w:t xml:space="preserve">specyficzne wyzwania rozwojowe. </w:t>
      </w:r>
      <w:r w:rsidR="007B740D">
        <w:rPr>
          <w:color w:val="000000"/>
          <w:sz w:val="21"/>
          <w:szCs w:val="21"/>
        </w:rPr>
        <w:t>Jako działania horyzontalne, obejmujące</w:t>
      </w:r>
      <w:r w:rsidR="00DA18EF" w:rsidRPr="00AE35C1">
        <w:rPr>
          <w:color w:val="000000"/>
          <w:sz w:val="21"/>
          <w:szCs w:val="21"/>
        </w:rPr>
        <w:t xml:space="preserve"> całe województwo za </w:t>
      </w:r>
      <w:r w:rsidRPr="00AE35C1">
        <w:rPr>
          <w:color w:val="000000"/>
          <w:sz w:val="21"/>
          <w:szCs w:val="21"/>
        </w:rPr>
        <w:t>priorytetowe przyjęto</w:t>
      </w:r>
      <w:r w:rsidR="00785A3E" w:rsidRPr="00AE35C1">
        <w:rPr>
          <w:color w:val="000000"/>
          <w:sz w:val="21"/>
          <w:szCs w:val="21"/>
        </w:rPr>
        <w:t>:</w:t>
      </w:r>
    </w:p>
    <w:p w:rsidR="005728D9" w:rsidRPr="00AE35C1" w:rsidRDefault="007409E5" w:rsidP="005728D9">
      <w:pPr>
        <w:numPr>
          <w:ilvl w:val="0"/>
          <w:numId w:val="2"/>
        </w:numPr>
        <w:spacing w:after="0"/>
        <w:jc w:val="both"/>
        <w:rPr>
          <w:b/>
          <w:color w:val="000000"/>
          <w:sz w:val="21"/>
          <w:szCs w:val="21"/>
        </w:rPr>
      </w:pPr>
      <w:r w:rsidRPr="00AE35C1">
        <w:rPr>
          <w:b/>
          <w:color w:val="000000"/>
          <w:sz w:val="21"/>
          <w:szCs w:val="21"/>
        </w:rPr>
        <w:t>Zwiększenie b</w:t>
      </w:r>
      <w:r w:rsidR="00045CA0" w:rsidRPr="00AE35C1">
        <w:rPr>
          <w:b/>
          <w:color w:val="000000"/>
          <w:sz w:val="21"/>
          <w:szCs w:val="21"/>
        </w:rPr>
        <w:t>ez</w:t>
      </w:r>
      <w:r w:rsidRPr="00AE35C1">
        <w:rPr>
          <w:b/>
          <w:color w:val="000000"/>
          <w:sz w:val="21"/>
          <w:szCs w:val="21"/>
        </w:rPr>
        <w:t>pieczeństwa</w:t>
      </w:r>
      <w:r w:rsidR="00045CA0" w:rsidRPr="00AE35C1">
        <w:rPr>
          <w:b/>
          <w:color w:val="000000"/>
          <w:sz w:val="21"/>
          <w:szCs w:val="21"/>
        </w:rPr>
        <w:t xml:space="preserve"> z</w:t>
      </w:r>
      <w:r w:rsidR="0071313D" w:rsidRPr="00AE35C1">
        <w:rPr>
          <w:b/>
          <w:color w:val="000000"/>
          <w:sz w:val="21"/>
          <w:szCs w:val="21"/>
        </w:rPr>
        <w:t>drow</w:t>
      </w:r>
      <w:r w:rsidR="00045CA0" w:rsidRPr="00AE35C1">
        <w:rPr>
          <w:b/>
          <w:color w:val="000000"/>
          <w:sz w:val="21"/>
          <w:szCs w:val="21"/>
        </w:rPr>
        <w:t>otne</w:t>
      </w:r>
      <w:r w:rsidRPr="00AE35C1">
        <w:rPr>
          <w:b/>
          <w:color w:val="000000"/>
          <w:sz w:val="21"/>
          <w:szCs w:val="21"/>
        </w:rPr>
        <w:t>go</w:t>
      </w:r>
    </w:p>
    <w:p w:rsidR="005728D9" w:rsidRPr="00AE35C1" w:rsidRDefault="00045CA0" w:rsidP="005728D9">
      <w:pPr>
        <w:numPr>
          <w:ilvl w:val="0"/>
          <w:numId w:val="2"/>
        </w:numPr>
        <w:spacing w:after="0"/>
        <w:jc w:val="both"/>
        <w:rPr>
          <w:b/>
          <w:color w:val="000000"/>
          <w:sz w:val="21"/>
          <w:szCs w:val="21"/>
        </w:rPr>
      </w:pPr>
      <w:r w:rsidRPr="00AE35C1">
        <w:rPr>
          <w:b/>
          <w:color w:val="000000"/>
          <w:sz w:val="21"/>
          <w:szCs w:val="21"/>
        </w:rPr>
        <w:t>Doskonalenie usług e</w:t>
      </w:r>
      <w:r w:rsidR="005728D9" w:rsidRPr="00AE35C1">
        <w:rPr>
          <w:b/>
          <w:color w:val="000000"/>
          <w:sz w:val="21"/>
          <w:szCs w:val="21"/>
        </w:rPr>
        <w:t>dukac</w:t>
      </w:r>
      <w:r w:rsidRPr="00AE35C1">
        <w:rPr>
          <w:b/>
          <w:color w:val="000000"/>
          <w:sz w:val="21"/>
          <w:szCs w:val="21"/>
        </w:rPr>
        <w:t>y</w:t>
      </w:r>
      <w:r w:rsidR="005728D9" w:rsidRPr="00AE35C1">
        <w:rPr>
          <w:b/>
          <w:color w:val="000000"/>
          <w:sz w:val="21"/>
          <w:szCs w:val="21"/>
        </w:rPr>
        <w:t>j</w:t>
      </w:r>
      <w:r w:rsidRPr="00AE35C1">
        <w:rPr>
          <w:b/>
          <w:color w:val="000000"/>
          <w:sz w:val="21"/>
          <w:szCs w:val="21"/>
        </w:rPr>
        <w:t>nych</w:t>
      </w:r>
    </w:p>
    <w:p w:rsidR="005728D9" w:rsidRPr="00AE35C1" w:rsidRDefault="005728D9" w:rsidP="005728D9">
      <w:pPr>
        <w:numPr>
          <w:ilvl w:val="0"/>
          <w:numId w:val="2"/>
        </w:numPr>
        <w:spacing w:after="0"/>
        <w:jc w:val="both"/>
        <w:rPr>
          <w:b/>
          <w:color w:val="000000"/>
          <w:sz w:val="21"/>
          <w:szCs w:val="21"/>
        </w:rPr>
      </w:pPr>
      <w:r w:rsidRPr="00AE35C1">
        <w:rPr>
          <w:b/>
          <w:color w:val="000000"/>
          <w:sz w:val="21"/>
          <w:szCs w:val="21"/>
        </w:rPr>
        <w:t>Kształtowanie postaw obywatelskich</w:t>
      </w:r>
    </w:p>
    <w:p w:rsidR="005728D9" w:rsidRPr="00AE35C1" w:rsidRDefault="005728D9" w:rsidP="005728D9">
      <w:pPr>
        <w:numPr>
          <w:ilvl w:val="0"/>
          <w:numId w:val="2"/>
        </w:numPr>
        <w:spacing w:after="0"/>
        <w:jc w:val="both"/>
        <w:rPr>
          <w:b/>
          <w:color w:val="000000"/>
          <w:sz w:val="21"/>
          <w:szCs w:val="21"/>
        </w:rPr>
      </w:pPr>
      <w:r w:rsidRPr="00AE35C1">
        <w:rPr>
          <w:b/>
          <w:color w:val="000000"/>
          <w:sz w:val="21"/>
          <w:szCs w:val="21"/>
        </w:rPr>
        <w:t>Rozwój potencjału komunikacyjnego</w:t>
      </w:r>
    </w:p>
    <w:p w:rsidR="005728D9" w:rsidRPr="00AE35C1" w:rsidRDefault="005728D9" w:rsidP="005728D9">
      <w:pPr>
        <w:numPr>
          <w:ilvl w:val="0"/>
          <w:numId w:val="2"/>
        </w:numPr>
        <w:spacing w:after="0"/>
        <w:jc w:val="both"/>
        <w:rPr>
          <w:b/>
          <w:color w:val="000000"/>
          <w:sz w:val="21"/>
          <w:szCs w:val="21"/>
        </w:rPr>
      </w:pPr>
      <w:r w:rsidRPr="00AE35C1">
        <w:rPr>
          <w:b/>
          <w:color w:val="000000"/>
          <w:sz w:val="21"/>
          <w:szCs w:val="21"/>
        </w:rPr>
        <w:t>Wykorzystanie potencjału środowiska (turystyka i ochrona dziedzictwa kulturowego)</w:t>
      </w:r>
    </w:p>
    <w:p w:rsidR="005728D9" w:rsidRPr="00AE35C1" w:rsidRDefault="005728D9" w:rsidP="005728D9">
      <w:pPr>
        <w:numPr>
          <w:ilvl w:val="0"/>
          <w:numId w:val="2"/>
        </w:numPr>
        <w:jc w:val="both"/>
        <w:rPr>
          <w:b/>
          <w:color w:val="000000"/>
          <w:sz w:val="21"/>
          <w:szCs w:val="21"/>
        </w:rPr>
      </w:pPr>
      <w:r w:rsidRPr="00AE35C1">
        <w:rPr>
          <w:b/>
          <w:color w:val="000000"/>
          <w:sz w:val="21"/>
          <w:szCs w:val="21"/>
        </w:rPr>
        <w:t xml:space="preserve">Wzmocnienie rozwoju regionalnych i </w:t>
      </w:r>
      <w:proofErr w:type="spellStart"/>
      <w:r w:rsidRPr="00AE35C1">
        <w:rPr>
          <w:b/>
          <w:color w:val="000000"/>
          <w:sz w:val="21"/>
          <w:szCs w:val="21"/>
        </w:rPr>
        <w:t>subregionalnych</w:t>
      </w:r>
      <w:proofErr w:type="spellEnd"/>
      <w:r w:rsidRPr="00AE35C1">
        <w:rPr>
          <w:b/>
          <w:color w:val="000000"/>
          <w:sz w:val="21"/>
          <w:szCs w:val="21"/>
        </w:rPr>
        <w:t xml:space="preserve"> ośrodków miejskich</w:t>
      </w:r>
    </w:p>
    <w:p w:rsidR="00496048" w:rsidRDefault="00E7438A" w:rsidP="00E7438A">
      <w:pPr>
        <w:jc w:val="both"/>
        <w:rPr>
          <w:color w:val="000000"/>
          <w:sz w:val="21"/>
          <w:szCs w:val="21"/>
        </w:rPr>
      </w:pPr>
      <w:r w:rsidRPr="00AE35C1">
        <w:rPr>
          <w:color w:val="000000"/>
          <w:sz w:val="21"/>
          <w:szCs w:val="21"/>
        </w:rPr>
        <w:t xml:space="preserve">Ponadto wzmocnienia wymagają obszary funkcjonalne największych miast regionu, czego wyrazem jest terytorialne ujęcie interwencji w obszarze funkcjonalnym jeleniogórskim, legnicko – głogowskim, wałbrzyskim i wrocławskim. Poniższa </w:t>
      </w:r>
      <w:r w:rsidR="00E0375E" w:rsidRPr="00AE35C1">
        <w:rPr>
          <w:color w:val="000000"/>
          <w:sz w:val="21"/>
          <w:szCs w:val="21"/>
        </w:rPr>
        <w:t>macierz</w:t>
      </w:r>
      <w:r w:rsidRPr="00AE35C1">
        <w:rPr>
          <w:color w:val="000000"/>
          <w:sz w:val="21"/>
          <w:szCs w:val="21"/>
        </w:rPr>
        <w:t xml:space="preserve"> kierunków interw</w:t>
      </w:r>
      <w:r w:rsidR="00785A3E" w:rsidRPr="00AE35C1">
        <w:rPr>
          <w:color w:val="000000"/>
          <w:sz w:val="21"/>
          <w:szCs w:val="21"/>
        </w:rPr>
        <w:t xml:space="preserve">encji </w:t>
      </w:r>
      <w:r w:rsidR="00AC6FC0">
        <w:rPr>
          <w:color w:val="000000"/>
          <w:sz w:val="21"/>
          <w:szCs w:val="21"/>
        </w:rPr>
        <w:t>została opracowana metodą ekspercką w oparciu o wszechstronną analizę zjawisk i procesów rozwojowych zachodzących w poszczególnych jednostkach terytorialnych. Z</w:t>
      </w:r>
      <w:r w:rsidR="00785A3E" w:rsidRPr="00AE35C1">
        <w:rPr>
          <w:color w:val="000000"/>
          <w:sz w:val="21"/>
          <w:szCs w:val="21"/>
        </w:rPr>
        <w:t xml:space="preserve">awiera </w:t>
      </w:r>
      <w:r w:rsidR="00AC6FC0">
        <w:rPr>
          <w:color w:val="000000"/>
          <w:sz w:val="21"/>
          <w:szCs w:val="21"/>
        </w:rPr>
        <w:t xml:space="preserve">ona </w:t>
      </w:r>
      <w:r w:rsidR="00785A3E" w:rsidRPr="00AE35C1">
        <w:rPr>
          <w:color w:val="000000"/>
          <w:sz w:val="21"/>
          <w:szCs w:val="21"/>
        </w:rPr>
        <w:t xml:space="preserve">cele operacyjne </w:t>
      </w:r>
      <w:r w:rsidRPr="00AE35C1">
        <w:rPr>
          <w:color w:val="000000"/>
          <w:sz w:val="21"/>
          <w:szCs w:val="21"/>
        </w:rPr>
        <w:t xml:space="preserve">identyfikowane </w:t>
      </w:r>
      <w:r w:rsidR="00785A3E" w:rsidRPr="00AE35C1">
        <w:rPr>
          <w:color w:val="000000"/>
          <w:sz w:val="21"/>
          <w:szCs w:val="21"/>
        </w:rPr>
        <w:t xml:space="preserve">jako priorytetowe </w:t>
      </w:r>
      <w:r w:rsidRPr="00AE35C1">
        <w:rPr>
          <w:color w:val="000000"/>
          <w:sz w:val="21"/>
          <w:szCs w:val="21"/>
        </w:rPr>
        <w:t>dla poszczególnych obszarów funkcjonalnych</w:t>
      </w:r>
      <w:r w:rsidR="003E3B04">
        <w:rPr>
          <w:color w:val="000000"/>
          <w:sz w:val="21"/>
          <w:szCs w:val="21"/>
        </w:rPr>
        <w:t xml:space="preserve">  – </w:t>
      </w:r>
      <w:r w:rsidR="00DF7C1C" w:rsidRPr="00D113CA">
        <w:rPr>
          <w:b/>
          <w:color w:val="000000"/>
          <w:sz w:val="21"/>
          <w:szCs w:val="21"/>
        </w:rPr>
        <w:t>skala od 1 (najistotniejszy) do 8</w:t>
      </w:r>
      <w:r w:rsidR="003E3B04">
        <w:rPr>
          <w:color w:val="000000"/>
          <w:sz w:val="21"/>
          <w:szCs w:val="21"/>
        </w:rPr>
        <w:t>.</w:t>
      </w:r>
      <w:r w:rsidRPr="00AE35C1">
        <w:rPr>
          <w:color w:val="000000"/>
          <w:sz w:val="21"/>
          <w:szCs w:val="21"/>
        </w:rPr>
        <w:t xml:space="preserve"> </w:t>
      </w:r>
      <w:r w:rsidR="009C53FC">
        <w:rPr>
          <w:color w:val="000000"/>
          <w:sz w:val="21"/>
          <w:szCs w:val="21"/>
        </w:rPr>
        <w:t>Należy jednak zaznaczyć, że brak (lub niska ranga) zaznaczenia danego celu strategicznego, nie oznacza braku możliwości jego realizacji w danym obszarze integracji – jest to jedynie rekomendacja, które z celów powinny być realizowane w</w:t>
      </w:r>
      <w:r w:rsidR="009D7913">
        <w:rPr>
          <w:color w:val="000000"/>
          <w:sz w:val="21"/>
          <w:szCs w:val="21"/>
        </w:rPr>
        <w:t> </w:t>
      </w:r>
      <w:r w:rsidR="008C64AB">
        <w:rPr>
          <w:color w:val="000000"/>
          <w:sz w:val="21"/>
          <w:szCs w:val="21"/>
        </w:rPr>
        <w:t>pierwszej</w:t>
      </w:r>
      <w:r w:rsidR="009C53FC">
        <w:rPr>
          <w:color w:val="000000"/>
          <w:sz w:val="21"/>
          <w:szCs w:val="21"/>
        </w:rPr>
        <w:t xml:space="preserve"> kolejności, które w następnej w ramach posiadanych środków. </w:t>
      </w:r>
    </w:p>
    <w:tbl>
      <w:tblPr>
        <w:tblpPr w:leftFromText="141" w:rightFromText="141" w:vertAnchor="text" w:tblpXSpec="center" w:tblpY="1"/>
        <w:tblOverlap w:val="never"/>
        <w:tblW w:w="4935" w:type="pct"/>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shd w:val="clear" w:color="auto" w:fill="D9D9D9"/>
        <w:tblLayout w:type="fixed"/>
        <w:tblLook w:val="04A0"/>
      </w:tblPr>
      <w:tblGrid>
        <w:gridCol w:w="446"/>
        <w:gridCol w:w="989"/>
        <w:gridCol w:w="1897"/>
        <w:gridCol w:w="875"/>
        <w:gridCol w:w="876"/>
        <w:gridCol w:w="874"/>
        <w:gridCol w:w="730"/>
        <w:gridCol w:w="992"/>
        <w:gridCol w:w="1488"/>
      </w:tblGrid>
      <w:tr w:rsidR="001A3B8F" w:rsidRPr="00AE35C1" w:rsidTr="00F77394">
        <w:trPr>
          <w:tblHeader/>
        </w:trPr>
        <w:tc>
          <w:tcPr>
            <w:tcW w:w="434" w:type="dxa"/>
            <w:vMerge w:val="restart"/>
            <w:shd w:val="clear" w:color="auto" w:fill="D9D9D9"/>
            <w:vAlign w:val="center"/>
          </w:tcPr>
          <w:p w:rsidR="00E0375E" w:rsidRPr="00AE35C1" w:rsidRDefault="00E0375E" w:rsidP="00FD0968">
            <w:pPr>
              <w:spacing w:before="20" w:after="20" w:line="288" w:lineRule="auto"/>
              <w:jc w:val="center"/>
              <w:rPr>
                <w:rFonts w:cs="Calibri"/>
                <w:b/>
                <w:color w:val="000000"/>
                <w:sz w:val="14"/>
                <w:szCs w:val="14"/>
              </w:rPr>
            </w:pPr>
            <w:r w:rsidRPr="00AE35C1">
              <w:rPr>
                <w:rFonts w:ascii="Century Gothic" w:hAnsi="Century Gothic"/>
                <w:b/>
                <w:color w:val="000000"/>
                <w:sz w:val="14"/>
                <w:szCs w:val="14"/>
              </w:rPr>
              <w:t>Lp.</w:t>
            </w:r>
          </w:p>
        </w:tc>
        <w:tc>
          <w:tcPr>
            <w:tcW w:w="962" w:type="dxa"/>
            <w:vMerge w:val="restart"/>
            <w:shd w:val="clear" w:color="auto" w:fill="D9D9D9"/>
            <w:vAlign w:val="center"/>
          </w:tcPr>
          <w:p w:rsidR="00E0375E" w:rsidRPr="00AE35C1" w:rsidRDefault="00E0375E" w:rsidP="00FD0968">
            <w:pPr>
              <w:spacing w:before="20" w:after="20" w:line="288" w:lineRule="auto"/>
              <w:ind w:right="-108" w:hanging="119"/>
              <w:jc w:val="center"/>
              <w:rPr>
                <w:rFonts w:ascii="Century Gothic" w:hAnsi="Century Gothic"/>
                <w:b/>
                <w:color w:val="000000"/>
                <w:sz w:val="14"/>
                <w:szCs w:val="14"/>
              </w:rPr>
            </w:pPr>
            <w:r w:rsidRPr="00AE35C1">
              <w:rPr>
                <w:rFonts w:ascii="Century Gothic" w:hAnsi="Century Gothic"/>
                <w:b/>
                <w:color w:val="000000"/>
                <w:sz w:val="14"/>
                <w:szCs w:val="14"/>
              </w:rPr>
              <w:t>Cel strategiczny</w:t>
            </w:r>
          </w:p>
        </w:tc>
        <w:tc>
          <w:tcPr>
            <w:tcW w:w="1843" w:type="dxa"/>
            <w:vMerge w:val="restart"/>
            <w:shd w:val="clear" w:color="auto" w:fill="D9D9D9"/>
            <w:vAlign w:val="center"/>
          </w:tcPr>
          <w:p w:rsidR="009F7937" w:rsidRDefault="00E0375E" w:rsidP="007505CB">
            <w:pPr>
              <w:spacing w:beforeLines="20" w:afterLines="20" w:line="288" w:lineRule="auto"/>
              <w:ind w:right="-108" w:hanging="119"/>
              <w:jc w:val="center"/>
              <w:rPr>
                <w:rFonts w:ascii="Century Gothic" w:hAnsi="Century Gothic"/>
                <w:b/>
                <w:color w:val="000000"/>
                <w:sz w:val="14"/>
                <w:szCs w:val="14"/>
              </w:rPr>
            </w:pPr>
            <w:r w:rsidRPr="00AE35C1">
              <w:rPr>
                <w:rFonts w:ascii="Century Gothic" w:hAnsi="Century Gothic"/>
                <w:b/>
                <w:color w:val="000000"/>
                <w:sz w:val="14"/>
                <w:szCs w:val="14"/>
              </w:rPr>
              <w:t>Priorytety</w:t>
            </w:r>
          </w:p>
          <w:p w:rsidR="009F7937" w:rsidRDefault="00E0375E" w:rsidP="007505CB">
            <w:pPr>
              <w:spacing w:beforeLines="20" w:afterLines="20" w:line="288" w:lineRule="auto"/>
              <w:ind w:right="-108" w:hanging="119"/>
              <w:jc w:val="center"/>
              <w:rPr>
                <w:rFonts w:ascii="Century Gothic" w:hAnsi="Century Gothic"/>
                <w:b/>
                <w:color w:val="000000"/>
                <w:sz w:val="14"/>
                <w:szCs w:val="14"/>
              </w:rPr>
            </w:pPr>
            <w:r w:rsidRPr="00AE35C1">
              <w:rPr>
                <w:rFonts w:ascii="Century Gothic" w:hAnsi="Century Gothic"/>
                <w:b/>
                <w:color w:val="000000"/>
                <w:sz w:val="14"/>
                <w:szCs w:val="14"/>
              </w:rPr>
              <w:t>(cele operacyjne)</w:t>
            </w:r>
          </w:p>
        </w:tc>
        <w:tc>
          <w:tcPr>
            <w:tcW w:w="5669" w:type="dxa"/>
            <w:gridSpan w:val="6"/>
            <w:shd w:val="clear" w:color="auto" w:fill="D9D9D9"/>
            <w:vAlign w:val="center"/>
          </w:tcPr>
          <w:p w:rsidR="00E0375E" w:rsidRPr="00AE35C1" w:rsidRDefault="00E0375E" w:rsidP="00FD0968">
            <w:pPr>
              <w:spacing w:before="20" w:after="20" w:line="288" w:lineRule="auto"/>
              <w:ind w:left="-108" w:right="-108"/>
              <w:jc w:val="center"/>
              <w:rPr>
                <w:rFonts w:ascii="Century Gothic" w:hAnsi="Century Gothic"/>
                <w:b/>
                <w:color w:val="000000"/>
                <w:sz w:val="14"/>
                <w:szCs w:val="14"/>
              </w:rPr>
            </w:pPr>
            <w:r w:rsidRPr="00AE35C1">
              <w:rPr>
                <w:rFonts w:ascii="Century Gothic" w:hAnsi="Century Gothic"/>
                <w:b/>
                <w:color w:val="000000"/>
                <w:sz w:val="14"/>
                <w:szCs w:val="14"/>
              </w:rPr>
              <w:t>Obszary interwencji</w:t>
            </w:r>
          </w:p>
        </w:tc>
      </w:tr>
      <w:tr w:rsidR="003129C3" w:rsidRPr="00AE35C1" w:rsidTr="00F77394">
        <w:trPr>
          <w:cantSplit/>
          <w:trHeight w:val="1222"/>
          <w:tblHeader/>
        </w:trPr>
        <w:tc>
          <w:tcPr>
            <w:tcW w:w="434" w:type="dxa"/>
            <w:vMerge/>
            <w:shd w:val="clear" w:color="auto" w:fill="D9D9D9"/>
            <w:vAlign w:val="center"/>
          </w:tcPr>
          <w:p w:rsidR="00E0375E" w:rsidRPr="00AE35C1" w:rsidRDefault="00E0375E" w:rsidP="00FD0968">
            <w:pPr>
              <w:spacing w:before="20" w:after="20" w:line="288" w:lineRule="auto"/>
              <w:jc w:val="center"/>
              <w:rPr>
                <w:rFonts w:cs="Calibri"/>
                <w:b/>
                <w:color w:val="000000"/>
                <w:sz w:val="14"/>
                <w:szCs w:val="14"/>
              </w:rPr>
            </w:pPr>
          </w:p>
        </w:tc>
        <w:tc>
          <w:tcPr>
            <w:tcW w:w="962" w:type="dxa"/>
            <w:vMerge/>
            <w:shd w:val="clear" w:color="auto" w:fill="D9D9D9"/>
            <w:vAlign w:val="center"/>
          </w:tcPr>
          <w:p w:rsidR="00E0375E" w:rsidRPr="00AE35C1" w:rsidRDefault="00E0375E" w:rsidP="00FD0968">
            <w:pPr>
              <w:spacing w:before="20" w:after="20" w:line="288" w:lineRule="auto"/>
              <w:ind w:right="-108" w:hanging="119"/>
              <w:jc w:val="center"/>
              <w:rPr>
                <w:rFonts w:ascii="Century Gothic" w:hAnsi="Century Gothic"/>
                <w:b/>
                <w:color w:val="000000"/>
                <w:sz w:val="14"/>
                <w:szCs w:val="14"/>
              </w:rPr>
            </w:pPr>
          </w:p>
        </w:tc>
        <w:tc>
          <w:tcPr>
            <w:tcW w:w="1843" w:type="dxa"/>
            <w:vMerge/>
            <w:shd w:val="clear" w:color="auto" w:fill="D9D9D9"/>
            <w:vAlign w:val="center"/>
          </w:tcPr>
          <w:p w:rsidR="009F7937" w:rsidRDefault="009F7937" w:rsidP="007505CB">
            <w:pPr>
              <w:spacing w:beforeLines="20" w:afterLines="20" w:line="288" w:lineRule="auto"/>
              <w:jc w:val="center"/>
              <w:rPr>
                <w:rFonts w:ascii="Century Gothic" w:hAnsi="Century Gothic"/>
                <w:b/>
                <w:color w:val="000000"/>
                <w:sz w:val="14"/>
                <w:szCs w:val="14"/>
              </w:rPr>
            </w:pPr>
          </w:p>
        </w:tc>
        <w:tc>
          <w:tcPr>
            <w:tcW w:w="850" w:type="dxa"/>
            <w:tcBorders>
              <w:bottom w:val="single" w:sz="18" w:space="0" w:color="FFFFFF"/>
            </w:tcBorders>
            <w:shd w:val="clear" w:color="auto" w:fill="D9D9D9"/>
            <w:textDirection w:val="btLr"/>
            <w:vAlign w:val="center"/>
          </w:tcPr>
          <w:p w:rsidR="00E0375E" w:rsidRPr="00363A97" w:rsidRDefault="004B0E5A" w:rsidP="00F77394">
            <w:pPr>
              <w:spacing w:before="20" w:after="20" w:line="240" w:lineRule="auto"/>
              <w:ind w:left="-108" w:right="-108"/>
              <w:jc w:val="center"/>
              <w:rPr>
                <w:rFonts w:ascii="Century Gothic" w:hAnsi="Century Gothic"/>
                <w:b/>
                <w:color w:val="000000"/>
                <w:sz w:val="12"/>
                <w:szCs w:val="12"/>
              </w:rPr>
            </w:pPr>
            <w:r w:rsidRPr="00363A97">
              <w:rPr>
                <w:rFonts w:ascii="Century Gothic" w:hAnsi="Century Gothic"/>
                <w:b/>
                <w:color w:val="000000"/>
                <w:sz w:val="12"/>
                <w:szCs w:val="12"/>
              </w:rPr>
              <w:t>Wrocławski Obszar Funkcjo</w:t>
            </w:r>
            <w:r w:rsidR="00E0375E" w:rsidRPr="00363A97">
              <w:rPr>
                <w:rFonts w:ascii="Century Gothic" w:hAnsi="Century Gothic"/>
                <w:b/>
                <w:color w:val="000000"/>
                <w:sz w:val="12"/>
                <w:szCs w:val="12"/>
              </w:rPr>
              <w:t>nalny</w:t>
            </w:r>
          </w:p>
        </w:tc>
        <w:tc>
          <w:tcPr>
            <w:tcW w:w="851" w:type="dxa"/>
            <w:tcBorders>
              <w:bottom w:val="single" w:sz="18" w:space="0" w:color="FFFFFF"/>
            </w:tcBorders>
            <w:shd w:val="clear" w:color="auto" w:fill="D9D9D9"/>
            <w:textDirection w:val="btLr"/>
            <w:vAlign w:val="center"/>
          </w:tcPr>
          <w:p w:rsidR="00E0375E" w:rsidRPr="00363A97" w:rsidRDefault="004B0E5A" w:rsidP="00F77394">
            <w:pPr>
              <w:spacing w:before="20" w:after="20" w:line="240" w:lineRule="auto"/>
              <w:ind w:left="113" w:right="113"/>
              <w:jc w:val="center"/>
              <w:rPr>
                <w:rFonts w:ascii="Century Gothic" w:hAnsi="Century Gothic"/>
                <w:b/>
                <w:color w:val="000000"/>
                <w:sz w:val="12"/>
                <w:szCs w:val="12"/>
              </w:rPr>
            </w:pPr>
            <w:r w:rsidRPr="00363A97">
              <w:rPr>
                <w:rFonts w:ascii="Century Gothic" w:hAnsi="Century Gothic"/>
                <w:b/>
                <w:color w:val="000000"/>
                <w:sz w:val="12"/>
                <w:szCs w:val="12"/>
              </w:rPr>
              <w:t>Legnicko-Głogo</w:t>
            </w:r>
            <w:r w:rsidR="00E0375E" w:rsidRPr="00363A97">
              <w:rPr>
                <w:rFonts w:ascii="Century Gothic" w:hAnsi="Century Gothic"/>
                <w:b/>
                <w:color w:val="000000"/>
                <w:sz w:val="12"/>
                <w:szCs w:val="12"/>
              </w:rPr>
              <w:t>wski Obszar Funkcjonalny</w:t>
            </w:r>
          </w:p>
        </w:tc>
        <w:tc>
          <w:tcPr>
            <w:tcW w:w="849" w:type="dxa"/>
            <w:tcBorders>
              <w:bottom w:val="single" w:sz="18" w:space="0" w:color="FFFFFF"/>
            </w:tcBorders>
            <w:shd w:val="clear" w:color="auto" w:fill="D9D9D9"/>
            <w:textDirection w:val="btLr"/>
            <w:vAlign w:val="center"/>
          </w:tcPr>
          <w:p w:rsidR="00E0375E" w:rsidRPr="00363A97" w:rsidRDefault="00E0375E" w:rsidP="00F77394">
            <w:pPr>
              <w:spacing w:before="20" w:after="20" w:line="240" w:lineRule="auto"/>
              <w:ind w:left="113" w:right="113"/>
              <w:jc w:val="center"/>
              <w:rPr>
                <w:rFonts w:ascii="Century Gothic" w:hAnsi="Century Gothic"/>
                <w:b/>
                <w:color w:val="000000"/>
                <w:sz w:val="12"/>
                <w:szCs w:val="12"/>
              </w:rPr>
            </w:pPr>
            <w:r w:rsidRPr="00363A97">
              <w:rPr>
                <w:rFonts w:ascii="Century Gothic" w:hAnsi="Century Gothic"/>
                <w:b/>
                <w:color w:val="000000"/>
                <w:sz w:val="12"/>
                <w:szCs w:val="12"/>
              </w:rPr>
              <w:t>Jeleniogórski Obszar Funkcjonalny</w:t>
            </w:r>
          </w:p>
        </w:tc>
        <w:tc>
          <w:tcPr>
            <w:tcW w:w="709" w:type="dxa"/>
            <w:tcBorders>
              <w:bottom w:val="single" w:sz="18" w:space="0" w:color="FFFFFF"/>
            </w:tcBorders>
            <w:shd w:val="clear" w:color="auto" w:fill="D9D9D9"/>
            <w:textDirection w:val="btLr"/>
            <w:vAlign w:val="center"/>
          </w:tcPr>
          <w:p w:rsidR="00E0375E" w:rsidRPr="00363A97" w:rsidRDefault="00E0375E" w:rsidP="00F77394">
            <w:pPr>
              <w:spacing w:before="20" w:after="20" w:line="240" w:lineRule="auto"/>
              <w:ind w:left="113" w:right="113"/>
              <w:jc w:val="center"/>
              <w:rPr>
                <w:rFonts w:ascii="Century Gothic" w:hAnsi="Century Gothic"/>
                <w:b/>
                <w:color w:val="000000"/>
                <w:sz w:val="12"/>
                <w:szCs w:val="12"/>
              </w:rPr>
            </w:pPr>
            <w:r w:rsidRPr="00363A97">
              <w:rPr>
                <w:rFonts w:ascii="Century Gothic" w:hAnsi="Century Gothic"/>
                <w:b/>
                <w:color w:val="000000"/>
                <w:sz w:val="12"/>
                <w:szCs w:val="12"/>
              </w:rPr>
              <w:t>Wałbrzyski Obszar Funkcjonalny</w:t>
            </w:r>
          </w:p>
        </w:tc>
        <w:tc>
          <w:tcPr>
            <w:tcW w:w="964" w:type="dxa"/>
            <w:tcBorders>
              <w:bottom w:val="single" w:sz="18" w:space="0" w:color="FFFFFF"/>
            </w:tcBorders>
            <w:shd w:val="clear" w:color="auto" w:fill="D9D9D9"/>
            <w:textDirection w:val="btLr"/>
            <w:vAlign w:val="center"/>
          </w:tcPr>
          <w:p w:rsidR="00E0375E" w:rsidRPr="00363A97" w:rsidRDefault="00E0375E" w:rsidP="00F77394">
            <w:pPr>
              <w:spacing w:before="20" w:after="20" w:line="240" w:lineRule="auto"/>
              <w:ind w:left="113" w:right="113"/>
              <w:jc w:val="center"/>
              <w:rPr>
                <w:rFonts w:ascii="Century Gothic" w:hAnsi="Century Gothic"/>
                <w:b/>
                <w:color w:val="000000"/>
                <w:sz w:val="12"/>
                <w:szCs w:val="12"/>
              </w:rPr>
            </w:pPr>
            <w:r w:rsidRPr="00363A97">
              <w:rPr>
                <w:rFonts w:ascii="Century Gothic" w:hAnsi="Century Gothic"/>
                <w:b/>
                <w:color w:val="000000"/>
                <w:sz w:val="12"/>
                <w:szCs w:val="12"/>
              </w:rPr>
              <w:t>Górski i Przygraniczny Obszar Funkcjonalny</w:t>
            </w:r>
          </w:p>
        </w:tc>
        <w:tc>
          <w:tcPr>
            <w:tcW w:w="1446" w:type="dxa"/>
            <w:tcBorders>
              <w:bottom w:val="single" w:sz="18" w:space="0" w:color="FFFFFF"/>
            </w:tcBorders>
            <w:shd w:val="clear" w:color="auto" w:fill="D9D9D9"/>
            <w:textDirection w:val="btLr"/>
            <w:vAlign w:val="center"/>
          </w:tcPr>
          <w:p w:rsidR="00E0375E" w:rsidRPr="00363A97" w:rsidRDefault="004B0E5A" w:rsidP="00F77394">
            <w:pPr>
              <w:spacing w:before="20" w:after="20" w:line="240" w:lineRule="auto"/>
              <w:ind w:left="113" w:right="113"/>
              <w:jc w:val="center"/>
              <w:rPr>
                <w:rFonts w:ascii="Century Gothic" w:hAnsi="Century Gothic"/>
                <w:b/>
                <w:color w:val="000000"/>
                <w:sz w:val="12"/>
                <w:szCs w:val="12"/>
              </w:rPr>
            </w:pPr>
            <w:r w:rsidRPr="00363A97">
              <w:rPr>
                <w:rFonts w:ascii="Century Gothic" w:hAnsi="Century Gothic"/>
                <w:b/>
                <w:color w:val="000000"/>
                <w:sz w:val="12"/>
                <w:szCs w:val="12"/>
              </w:rPr>
              <w:t>Obszary poza miejskimi obsza</w:t>
            </w:r>
            <w:r w:rsidR="00E0375E" w:rsidRPr="00363A97">
              <w:rPr>
                <w:rFonts w:ascii="Century Gothic" w:hAnsi="Century Gothic"/>
                <w:b/>
                <w:color w:val="000000"/>
                <w:sz w:val="12"/>
                <w:szCs w:val="12"/>
              </w:rPr>
              <w:t>rami f</w:t>
            </w:r>
            <w:r w:rsidRPr="00363A97">
              <w:rPr>
                <w:rFonts w:ascii="Century Gothic" w:hAnsi="Century Gothic"/>
                <w:b/>
                <w:color w:val="000000"/>
                <w:sz w:val="12"/>
                <w:szCs w:val="12"/>
              </w:rPr>
              <w:t xml:space="preserve">unkcjonalnymi </w:t>
            </w:r>
            <w:r w:rsidR="00363A97">
              <w:rPr>
                <w:rFonts w:ascii="Times New Roman" w:hAnsi="Times New Roman"/>
                <w:b/>
                <w:color w:val="000000"/>
                <w:sz w:val="12"/>
                <w:szCs w:val="12"/>
              </w:rPr>
              <w:t>−</w:t>
            </w:r>
            <w:r w:rsidRPr="00363A97">
              <w:rPr>
                <w:rFonts w:ascii="Century Gothic" w:hAnsi="Century Gothic"/>
                <w:b/>
                <w:color w:val="000000"/>
                <w:sz w:val="12"/>
                <w:szCs w:val="12"/>
              </w:rPr>
              <w:t xml:space="preserve"> obszary peryfe</w:t>
            </w:r>
            <w:r w:rsidR="00E0375E" w:rsidRPr="00363A97">
              <w:rPr>
                <w:rFonts w:ascii="Century Gothic" w:hAnsi="Century Gothic"/>
                <w:b/>
                <w:color w:val="000000"/>
                <w:sz w:val="12"/>
                <w:szCs w:val="12"/>
              </w:rPr>
              <w:t>ryjne</w:t>
            </w:r>
          </w:p>
        </w:tc>
      </w:tr>
      <w:tr w:rsidR="003129C3" w:rsidRPr="00AE35C1" w:rsidTr="00F77394">
        <w:tc>
          <w:tcPr>
            <w:tcW w:w="434" w:type="dxa"/>
            <w:vMerge w:val="restart"/>
            <w:shd w:val="clear" w:color="auto" w:fill="D9D9D9"/>
          </w:tcPr>
          <w:p w:rsidR="00E0375E" w:rsidRPr="00AE35C1" w:rsidRDefault="00E0375E" w:rsidP="00FD0968">
            <w:pPr>
              <w:spacing w:before="40" w:after="40" w:line="288" w:lineRule="auto"/>
              <w:jc w:val="center"/>
              <w:rPr>
                <w:rFonts w:cs="Calibri"/>
                <w:b/>
                <w:color w:val="000000"/>
                <w:sz w:val="18"/>
                <w:szCs w:val="18"/>
              </w:rPr>
            </w:pPr>
            <w:r w:rsidRPr="00AE35C1">
              <w:rPr>
                <w:rFonts w:cs="Calibri"/>
                <w:b/>
                <w:color w:val="000000"/>
                <w:sz w:val="18"/>
                <w:szCs w:val="18"/>
              </w:rPr>
              <w:t>1.</w:t>
            </w:r>
          </w:p>
        </w:tc>
        <w:tc>
          <w:tcPr>
            <w:tcW w:w="962" w:type="dxa"/>
            <w:vMerge w:val="restart"/>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r w:rsidRPr="00C83F75">
              <w:rPr>
                <w:rFonts w:ascii="Century Gothic" w:hAnsi="Century Gothic"/>
                <w:b/>
                <w:color w:val="000000"/>
                <w:sz w:val="13"/>
                <w:szCs w:val="13"/>
              </w:rPr>
              <w:t>EFEKTYWNE WYKORZYSTANIE GOSPODARCZEGO POTENCJAŁU REGIONU</w:t>
            </w:r>
          </w:p>
        </w:tc>
        <w:tc>
          <w:tcPr>
            <w:tcW w:w="1843" w:type="dxa"/>
            <w:shd w:val="clear" w:color="auto" w:fill="D9D9D9"/>
          </w:tcPr>
          <w:p w:rsidR="00E0375E" w:rsidRPr="00AE35C1" w:rsidRDefault="00E0375E" w:rsidP="003129C3">
            <w:pPr>
              <w:pStyle w:val="Akapitzlist"/>
              <w:numPr>
                <w:ilvl w:val="1"/>
                <w:numId w:val="43"/>
              </w:numPr>
              <w:autoSpaceDE w:val="0"/>
              <w:autoSpaceDN w:val="0"/>
              <w:adjustRightInd w:val="0"/>
              <w:spacing w:after="0" w:line="288" w:lineRule="auto"/>
              <w:ind w:left="357" w:right="-109" w:hanging="357"/>
              <w:rPr>
                <w:color w:val="000000"/>
                <w:sz w:val="14"/>
                <w:szCs w:val="14"/>
              </w:rPr>
            </w:pPr>
            <w:r w:rsidRPr="00AE35C1">
              <w:rPr>
                <w:color w:val="000000"/>
                <w:sz w:val="14"/>
                <w:szCs w:val="14"/>
              </w:rPr>
              <w:t>Wspieranie endogenicznych potencjałów gospodarczych subregionów</w:t>
            </w:r>
          </w:p>
        </w:tc>
        <w:tc>
          <w:tcPr>
            <w:tcW w:w="850" w:type="dxa"/>
            <w:tcBorders>
              <w:bottom w:val="single" w:sz="18" w:space="0" w:color="FFFFFF"/>
              <w:tl2br w:val="nil"/>
              <w:tr2bl w:val="nil"/>
            </w:tcBorders>
            <w:shd w:val="clear" w:color="auto" w:fill="D9D9D9"/>
            <w:vAlign w:val="center"/>
          </w:tcPr>
          <w:p w:rsidR="00E0375E" w:rsidRPr="00AE35C1" w:rsidRDefault="00E0375E" w:rsidP="00FD0968">
            <w:pPr>
              <w:spacing w:after="0" w:line="240" w:lineRule="auto"/>
              <w:jc w:val="center"/>
              <w:rPr>
                <w:rFonts w:ascii="Century Gothic" w:hAnsi="Century Gothic"/>
                <w:b/>
                <w:color w:val="000000"/>
                <w:sz w:val="16"/>
                <w:szCs w:val="16"/>
              </w:rPr>
            </w:pPr>
          </w:p>
        </w:tc>
        <w:tc>
          <w:tcPr>
            <w:tcW w:w="851" w:type="dxa"/>
            <w:tcBorders>
              <w:tr2bl w:val="nil"/>
            </w:tcBorders>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1</w:t>
            </w:r>
          </w:p>
        </w:tc>
        <w:tc>
          <w:tcPr>
            <w:tcW w:w="849" w:type="dxa"/>
            <w:tcBorders>
              <w:tr2bl w:val="nil"/>
            </w:tcBorders>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1</w:t>
            </w:r>
          </w:p>
        </w:tc>
        <w:tc>
          <w:tcPr>
            <w:tcW w:w="709" w:type="dxa"/>
            <w:tcBorders>
              <w:tr2bl w:val="nil"/>
            </w:tcBorders>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2</w:t>
            </w:r>
          </w:p>
        </w:tc>
        <w:tc>
          <w:tcPr>
            <w:tcW w:w="964" w:type="dxa"/>
            <w:tcBorders>
              <w:tr2bl w:val="nil"/>
            </w:tcBorders>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1</w:t>
            </w:r>
          </w:p>
        </w:tc>
        <w:tc>
          <w:tcPr>
            <w:tcW w:w="1446" w:type="dxa"/>
            <w:tcBorders>
              <w:tr2bl w:val="nil"/>
            </w:tcBorders>
            <w:shd w:val="clear" w:color="auto" w:fill="BEEAFA"/>
            <w:vAlign w:val="center"/>
          </w:tcPr>
          <w:p w:rsidR="00E0375E" w:rsidRPr="00AE35C1" w:rsidRDefault="005728D9" w:rsidP="00FD0968">
            <w:pPr>
              <w:spacing w:before="20" w:after="20" w:line="288" w:lineRule="auto"/>
              <w:jc w:val="center"/>
              <w:rPr>
                <w:rFonts w:ascii="Century Gothic" w:hAnsi="Century Gothic"/>
                <w:b/>
                <w:color w:val="000000"/>
                <w:sz w:val="16"/>
                <w:szCs w:val="16"/>
              </w:rPr>
            </w:pPr>
            <w:r w:rsidRPr="00AE35C1">
              <w:rPr>
                <w:rFonts w:ascii="Century Gothic" w:hAnsi="Century Gothic"/>
                <w:b/>
                <w:color w:val="000000"/>
                <w:sz w:val="18"/>
                <w:szCs w:val="12"/>
              </w:rPr>
              <w:t>1</w:t>
            </w:r>
          </w:p>
        </w:tc>
      </w:tr>
      <w:tr w:rsidR="003129C3" w:rsidRPr="00AE35C1" w:rsidTr="00F77394">
        <w:tc>
          <w:tcPr>
            <w:tcW w:w="434" w:type="dxa"/>
            <w:vMerge/>
            <w:shd w:val="clear" w:color="auto" w:fill="D9D9D9"/>
          </w:tcPr>
          <w:p w:rsidR="00E0375E" w:rsidRPr="00AE35C1" w:rsidRDefault="00E0375E" w:rsidP="00FD0968">
            <w:pPr>
              <w:spacing w:before="40" w:after="40" w:line="288" w:lineRule="auto"/>
              <w:jc w:val="center"/>
              <w:rPr>
                <w:rFonts w:cs="Calibri"/>
                <w:b/>
                <w:color w:val="000000"/>
                <w:sz w:val="18"/>
                <w:szCs w:val="18"/>
              </w:rPr>
            </w:pPr>
          </w:p>
        </w:tc>
        <w:tc>
          <w:tcPr>
            <w:tcW w:w="962" w:type="dxa"/>
            <w:vMerge/>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E0375E" w:rsidRPr="00AE35C1" w:rsidRDefault="00E0375E" w:rsidP="003129C3">
            <w:pPr>
              <w:pStyle w:val="Akapitzlist"/>
              <w:numPr>
                <w:ilvl w:val="1"/>
                <w:numId w:val="43"/>
              </w:numPr>
              <w:autoSpaceDE w:val="0"/>
              <w:autoSpaceDN w:val="0"/>
              <w:adjustRightInd w:val="0"/>
              <w:spacing w:after="0" w:line="288" w:lineRule="auto"/>
              <w:ind w:left="357" w:right="-109" w:hanging="357"/>
              <w:rPr>
                <w:color w:val="000000"/>
                <w:sz w:val="14"/>
                <w:szCs w:val="14"/>
              </w:rPr>
            </w:pPr>
            <w:r w:rsidRPr="00AE35C1">
              <w:rPr>
                <w:color w:val="000000"/>
                <w:sz w:val="14"/>
                <w:szCs w:val="14"/>
              </w:rPr>
              <w:t>Wzmocnienie krajowej i europejskiej konkurencyjności regionu i jego marki</w:t>
            </w:r>
          </w:p>
        </w:tc>
        <w:tc>
          <w:tcPr>
            <w:tcW w:w="850" w:type="dxa"/>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6"/>
                <w:szCs w:val="16"/>
              </w:rPr>
            </w:pPr>
            <w:r w:rsidRPr="00AE35C1">
              <w:rPr>
                <w:rFonts w:ascii="Century Gothic" w:hAnsi="Century Gothic"/>
                <w:b/>
                <w:color w:val="000000"/>
                <w:sz w:val="18"/>
                <w:szCs w:val="12"/>
              </w:rPr>
              <w:t>1</w:t>
            </w:r>
          </w:p>
        </w:tc>
        <w:tc>
          <w:tcPr>
            <w:tcW w:w="851"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849"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709" w:type="dxa"/>
            <w:shd w:val="clear" w:color="auto" w:fill="D9D9D9"/>
            <w:vAlign w:val="center"/>
          </w:tcPr>
          <w:p w:rsidR="00E0375E" w:rsidRPr="00AE35C1" w:rsidRDefault="00E0375E" w:rsidP="00FD0968">
            <w:pPr>
              <w:spacing w:after="0" w:line="240" w:lineRule="auto"/>
              <w:jc w:val="center"/>
              <w:rPr>
                <w:rFonts w:ascii="Century Gothic" w:hAnsi="Century Gothic"/>
                <w:b/>
                <w:color w:val="000000"/>
                <w:sz w:val="16"/>
                <w:szCs w:val="16"/>
              </w:rPr>
            </w:pPr>
          </w:p>
        </w:tc>
        <w:tc>
          <w:tcPr>
            <w:tcW w:w="964"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1446"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r>
      <w:tr w:rsidR="003129C3" w:rsidRPr="00AE35C1" w:rsidTr="00F77394">
        <w:tc>
          <w:tcPr>
            <w:tcW w:w="434" w:type="dxa"/>
            <w:vMerge/>
            <w:shd w:val="clear" w:color="auto" w:fill="D9D9D9"/>
          </w:tcPr>
          <w:p w:rsidR="00E0375E" w:rsidRPr="00AE35C1" w:rsidRDefault="00E0375E" w:rsidP="00FD0968">
            <w:pPr>
              <w:spacing w:before="40" w:after="40" w:line="288" w:lineRule="auto"/>
              <w:jc w:val="center"/>
              <w:rPr>
                <w:rFonts w:cs="Calibri"/>
                <w:b/>
                <w:color w:val="000000"/>
                <w:sz w:val="18"/>
                <w:szCs w:val="18"/>
              </w:rPr>
            </w:pPr>
          </w:p>
        </w:tc>
        <w:tc>
          <w:tcPr>
            <w:tcW w:w="962" w:type="dxa"/>
            <w:vMerge/>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E0375E" w:rsidRPr="00AE35C1" w:rsidRDefault="00E0375E" w:rsidP="003129C3">
            <w:pPr>
              <w:pStyle w:val="Akapitzlist"/>
              <w:numPr>
                <w:ilvl w:val="1"/>
                <w:numId w:val="43"/>
              </w:numPr>
              <w:autoSpaceDE w:val="0"/>
              <w:autoSpaceDN w:val="0"/>
              <w:adjustRightInd w:val="0"/>
              <w:spacing w:after="0" w:line="288" w:lineRule="auto"/>
              <w:ind w:left="357" w:right="-109" w:hanging="357"/>
              <w:rPr>
                <w:color w:val="000000"/>
                <w:sz w:val="14"/>
                <w:szCs w:val="14"/>
              </w:rPr>
            </w:pPr>
            <w:r w:rsidRPr="00AE35C1">
              <w:rPr>
                <w:color w:val="000000"/>
                <w:sz w:val="14"/>
                <w:szCs w:val="14"/>
              </w:rPr>
              <w:t xml:space="preserve">Wzmacnianie </w:t>
            </w:r>
            <w:r w:rsidRPr="00AE35C1">
              <w:rPr>
                <w:color w:val="000000"/>
                <w:sz w:val="14"/>
                <w:szCs w:val="14"/>
              </w:rPr>
              <w:lastRenderedPageBreak/>
              <w:t>innowacyjności regionu</w:t>
            </w:r>
          </w:p>
        </w:tc>
        <w:tc>
          <w:tcPr>
            <w:tcW w:w="850" w:type="dxa"/>
            <w:tcBorders>
              <w:bottom w:val="single" w:sz="18" w:space="0" w:color="FFFFFF"/>
            </w:tcBorders>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lastRenderedPageBreak/>
              <w:t>2</w:t>
            </w:r>
          </w:p>
        </w:tc>
        <w:tc>
          <w:tcPr>
            <w:tcW w:w="851" w:type="dxa"/>
            <w:tcBorders>
              <w:bottom w:val="single" w:sz="18" w:space="0" w:color="FFFFFF"/>
            </w:tcBorders>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2</w:t>
            </w:r>
          </w:p>
        </w:tc>
        <w:tc>
          <w:tcPr>
            <w:tcW w:w="849" w:type="dxa"/>
            <w:tcBorders>
              <w:bottom w:val="single" w:sz="18" w:space="0" w:color="FFFFFF"/>
            </w:tcBorders>
            <w:shd w:val="clear" w:color="auto" w:fill="D9D9D9"/>
            <w:vAlign w:val="center"/>
          </w:tcPr>
          <w:p w:rsidR="00E0375E" w:rsidRPr="00AE35C1" w:rsidRDefault="00E0375E" w:rsidP="00C56EF5">
            <w:pPr>
              <w:spacing w:before="20" w:after="20" w:line="288" w:lineRule="auto"/>
              <w:jc w:val="center"/>
              <w:rPr>
                <w:rFonts w:ascii="Century Gothic" w:hAnsi="Century Gothic"/>
                <w:b/>
                <w:color w:val="000000"/>
                <w:sz w:val="18"/>
                <w:szCs w:val="12"/>
              </w:rPr>
            </w:pPr>
          </w:p>
        </w:tc>
        <w:tc>
          <w:tcPr>
            <w:tcW w:w="709" w:type="dxa"/>
            <w:tcBorders>
              <w:bottom w:val="single" w:sz="18" w:space="0" w:color="FFFFFF"/>
            </w:tcBorders>
            <w:shd w:val="clear" w:color="auto" w:fill="D9D9D9"/>
            <w:vAlign w:val="center"/>
          </w:tcPr>
          <w:p w:rsidR="00E0375E" w:rsidRPr="00AE35C1" w:rsidRDefault="00E0375E" w:rsidP="00C56EF5">
            <w:pPr>
              <w:spacing w:before="20" w:after="20" w:line="288" w:lineRule="auto"/>
              <w:jc w:val="center"/>
              <w:rPr>
                <w:rFonts w:ascii="Century Gothic" w:hAnsi="Century Gothic"/>
                <w:b/>
                <w:color w:val="000000"/>
                <w:sz w:val="18"/>
                <w:szCs w:val="12"/>
              </w:rPr>
            </w:pPr>
          </w:p>
        </w:tc>
        <w:tc>
          <w:tcPr>
            <w:tcW w:w="964"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1446"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r>
      <w:tr w:rsidR="003129C3" w:rsidRPr="00AE35C1" w:rsidTr="00F77394">
        <w:tc>
          <w:tcPr>
            <w:tcW w:w="434" w:type="dxa"/>
            <w:vMerge/>
            <w:shd w:val="clear" w:color="auto" w:fill="D9D9D9"/>
          </w:tcPr>
          <w:p w:rsidR="00E0375E" w:rsidRPr="00AE35C1" w:rsidRDefault="00E0375E" w:rsidP="00FD0968">
            <w:pPr>
              <w:spacing w:before="40" w:after="40" w:line="288" w:lineRule="auto"/>
              <w:jc w:val="center"/>
              <w:rPr>
                <w:rFonts w:cs="Calibri"/>
                <w:b/>
                <w:color w:val="000000"/>
                <w:sz w:val="18"/>
                <w:szCs w:val="18"/>
              </w:rPr>
            </w:pPr>
          </w:p>
        </w:tc>
        <w:tc>
          <w:tcPr>
            <w:tcW w:w="962" w:type="dxa"/>
            <w:vMerge/>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E0375E" w:rsidRPr="00AE35C1" w:rsidRDefault="00E0375E" w:rsidP="003129C3">
            <w:pPr>
              <w:pStyle w:val="Akapitzlist"/>
              <w:numPr>
                <w:ilvl w:val="1"/>
                <w:numId w:val="43"/>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Wspieranie rozwoju oraz rewitalizacja obszarów miejskich i wiejskich</w:t>
            </w:r>
          </w:p>
        </w:tc>
        <w:tc>
          <w:tcPr>
            <w:tcW w:w="850" w:type="dxa"/>
            <w:tcBorders>
              <w:tr2bl w:val="nil"/>
            </w:tcBorders>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4</w:t>
            </w:r>
          </w:p>
        </w:tc>
        <w:tc>
          <w:tcPr>
            <w:tcW w:w="851" w:type="dxa"/>
            <w:tcBorders>
              <w:tr2bl w:val="nil"/>
            </w:tcBorders>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4</w:t>
            </w:r>
          </w:p>
        </w:tc>
        <w:tc>
          <w:tcPr>
            <w:tcW w:w="849" w:type="dxa"/>
            <w:tcBorders>
              <w:tr2bl w:val="nil"/>
            </w:tcBorders>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3</w:t>
            </w:r>
          </w:p>
        </w:tc>
        <w:tc>
          <w:tcPr>
            <w:tcW w:w="709" w:type="dxa"/>
            <w:tcBorders>
              <w:tr2bl w:val="nil"/>
            </w:tcBorders>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5</w:t>
            </w:r>
          </w:p>
        </w:tc>
        <w:tc>
          <w:tcPr>
            <w:tcW w:w="964" w:type="dxa"/>
            <w:tcBorders>
              <w:bottom w:val="single" w:sz="18" w:space="0" w:color="FFFFFF"/>
              <w:tr2bl w:val="nil"/>
            </w:tcBorders>
            <w:shd w:val="clear" w:color="auto" w:fill="BEEAFA"/>
            <w:vAlign w:val="center"/>
          </w:tcPr>
          <w:p w:rsidR="00E0375E" w:rsidRPr="00AE35C1" w:rsidRDefault="005728D9"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4</w:t>
            </w:r>
          </w:p>
        </w:tc>
        <w:tc>
          <w:tcPr>
            <w:tcW w:w="1446" w:type="dxa"/>
            <w:tcBorders>
              <w:bottom w:val="single" w:sz="18" w:space="0" w:color="FFFFFF"/>
              <w:tr2bl w:val="nil"/>
            </w:tcBorders>
            <w:shd w:val="clear" w:color="auto" w:fill="BEEAFA"/>
            <w:vAlign w:val="center"/>
          </w:tcPr>
          <w:p w:rsidR="00E0375E" w:rsidRPr="00AE35C1" w:rsidRDefault="005728D9"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2</w:t>
            </w:r>
          </w:p>
        </w:tc>
      </w:tr>
      <w:tr w:rsidR="003129C3" w:rsidRPr="00AE35C1" w:rsidTr="00F77394">
        <w:tc>
          <w:tcPr>
            <w:tcW w:w="434" w:type="dxa"/>
            <w:vMerge w:val="restart"/>
            <w:shd w:val="clear" w:color="auto" w:fill="D9D9D9"/>
          </w:tcPr>
          <w:p w:rsidR="00E0375E" w:rsidRPr="00AE35C1" w:rsidRDefault="00E0375E" w:rsidP="00FD0968">
            <w:pPr>
              <w:spacing w:before="40" w:after="40" w:line="288" w:lineRule="auto"/>
              <w:jc w:val="center"/>
              <w:rPr>
                <w:rFonts w:cs="Calibri"/>
                <w:b/>
                <w:color w:val="000000"/>
                <w:sz w:val="18"/>
                <w:szCs w:val="18"/>
              </w:rPr>
            </w:pPr>
            <w:r w:rsidRPr="00AE35C1">
              <w:rPr>
                <w:rFonts w:cs="Calibri"/>
                <w:b/>
                <w:color w:val="000000"/>
                <w:sz w:val="18"/>
                <w:szCs w:val="18"/>
              </w:rPr>
              <w:t>2.</w:t>
            </w:r>
          </w:p>
        </w:tc>
        <w:tc>
          <w:tcPr>
            <w:tcW w:w="962" w:type="dxa"/>
            <w:vMerge w:val="restart"/>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r w:rsidRPr="00C83F75">
              <w:rPr>
                <w:rFonts w:ascii="Century Gothic" w:hAnsi="Century Gothic"/>
                <w:b/>
                <w:color w:val="000000"/>
                <w:sz w:val="13"/>
                <w:szCs w:val="13"/>
              </w:rPr>
              <w:t>ZWIĘKSZENIE JAKOŚCI I DOSTĘPNOŚCI USŁUG PUBLICZNYCH</w:t>
            </w:r>
          </w:p>
        </w:tc>
        <w:tc>
          <w:tcPr>
            <w:tcW w:w="1843" w:type="dxa"/>
            <w:shd w:val="clear" w:color="auto" w:fill="D9D9D9"/>
          </w:tcPr>
          <w:p w:rsidR="00E0375E" w:rsidRPr="00AE35C1" w:rsidRDefault="00E0375E" w:rsidP="003129C3">
            <w:pPr>
              <w:pStyle w:val="Akapitzlist"/>
              <w:numPr>
                <w:ilvl w:val="1"/>
                <w:numId w:val="44"/>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 xml:space="preserve">Poprawa stanu regionalnej infrastruktury technicznej </w:t>
            </w:r>
          </w:p>
        </w:tc>
        <w:tc>
          <w:tcPr>
            <w:tcW w:w="850" w:type="dxa"/>
            <w:shd w:val="clear" w:color="auto" w:fill="D9D9D9"/>
            <w:vAlign w:val="center"/>
          </w:tcPr>
          <w:p w:rsidR="00E0375E" w:rsidRPr="00AE35C1" w:rsidRDefault="00E0375E" w:rsidP="00FD0968">
            <w:pPr>
              <w:spacing w:after="0" w:line="288" w:lineRule="auto"/>
              <w:jc w:val="center"/>
              <w:rPr>
                <w:rFonts w:ascii="Century Gothic" w:hAnsi="Century Gothic"/>
                <w:b/>
                <w:color w:val="000000"/>
                <w:sz w:val="16"/>
                <w:szCs w:val="16"/>
              </w:rPr>
            </w:pPr>
          </w:p>
        </w:tc>
        <w:tc>
          <w:tcPr>
            <w:tcW w:w="851"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849"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709"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964" w:type="dxa"/>
            <w:shd w:val="clear" w:color="auto" w:fill="BEEAFA"/>
            <w:vAlign w:val="center"/>
          </w:tcPr>
          <w:p w:rsidR="00E0375E" w:rsidRPr="00AE35C1" w:rsidRDefault="005728D9"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6</w:t>
            </w:r>
          </w:p>
        </w:tc>
        <w:tc>
          <w:tcPr>
            <w:tcW w:w="1446" w:type="dxa"/>
            <w:shd w:val="clear" w:color="auto" w:fill="BEEAFA"/>
            <w:vAlign w:val="center"/>
          </w:tcPr>
          <w:p w:rsidR="00E0375E" w:rsidRPr="00AE35C1" w:rsidRDefault="005728D9"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5</w:t>
            </w:r>
          </w:p>
        </w:tc>
      </w:tr>
      <w:tr w:rsidR="003129C3" w:rsidRPr="00AE35C1" w:rsidTr="00F77394">
        <w:tc>
          <w:tcPr>
            <w:tcW w:w="434" w:type="dxa"/>
            <w:vMerge/>
            <w:shd w:val="clear" w:color="auto" w:fill="D9D9D9"/>
          </w:tcPr>
          <w:p w:rsidR="00E0375E" w:rsidRPr="00AE35C1" w:rsidRDefault="00E0375E" w:rsidP="00FD0968">
            <w:pPr>
              <w:spacing w:before="40" w:after="40" w:line="288" w:lineRule="auto"/>
              <w:jc w:val="center"/>
              <w:rPr>
                <w:rFonts w:cs="Calibri"/>
                <w:b/>
                <w:color w:val="000000"/>
                <w:sz w:val="18"/>
                <w:szCs w:val="18"/>
              </w:rPr>
            </w:pPr>
          </w:p>
        </w:tc>
        <w:tc>
          <w:tcPr>
            <w:tcW w:w="962" w:type="dxa"/>
            <w:vMerge/>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9F7937" w:rsidRDefault="00E0375E" w:rsidP="00D113CA">
            <w:pPr>
              <w:pStyle w:val="Akapitzlist"/>
              <w:numPr>
                <w:ilvl w:val="1"/>
                <w:numId w:val="44"/>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 xml:space="preserve">Rozwój i modernizacja regionalnej infrastruktury </w:t>
            </w:r>
            <w:r w:rsidR="007B740D">
              <w:rPr>
                <w:color w:val="000000"/>
                <w:sz w:val="14"/>
                <w:szCs w:val="14"/>
              </w:rPr>
              <w:t>publicznej</w:t>
            </w:r>
            <w:r w:rsidRPr="00AE35C1">
              <w:rPr>
                <w:color w:val="000000"/>
                <w:sz w:val="14"/>
                <w:szCs w:val="14"/>
              </w:rPr>
              <w:t xml:space="preserve"> z uwzględnieniem potrzeb osób </w:t>
            </w:r>
            <w:r w:rsidR="00EB0786" w:rsidRPr="00AE35C1">
              <w:rPr>
                <w:color w:val="000000"/>
                <w:sz w:val="14"/>
                <w:szCs w:val="14"/>
              </w:rPr>
              <w:t>z niepełnosprawnościami</w:t>
            </w:r>
            <w:r w:rsidRPr="00AE35C1">
              <w:rPr>
                <w:color w:val="000000"/>
                <w:sz w:val="14"/>
                <w:szCs w:val="14"/>
              </w:rPr>
              <w:t xml:space="preserve"> i starszych </w:t>
            </w:r>
          </w:p>
        </w:tc>
        <w:tc>
          <w:tcPr>
            <w:tcW w:w="850" w:type="dxa"/>
            <w:tcBorders>
              <w:bottom w:val="single" w:sz="18" w:space="0" w:color="FFFFFF"/>
            </w:tcBorders>
            <w:shd w:val="clear" w:color="auto" w:fill="D9D9D9"/>
            <w:vAlign w:val="center"/>
          </w:tcPr>
          <w:p w:rsidR="00E0375E" w:rsidRPr="00AE35C1" w:rsidRDefault="00E0375E" w:rsidP="00FD0968">
            <w:pPr>
              <w:spacing w:after="0" w:line="288" w:lineRule="auto"/>
              <w:jc w:val="center"/>
              <w:rPr>
                <w:rFonts w:ascii="Century Gothic" w:hAnsi="Century Gothic"/>
                <w:b/>
                <w:color w:val="000000"/>
                <w:sz w:val="16"/>
                <w:szCs w:val="16"/>
              </w:rPr>
            </w:pPr>
          </w:p>
        </w:tc>
        <w:tc>
          <w:tcPr>
            <w:tcW w:w="851"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849"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709"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964"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1446"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r>
      <w:tr w:rsidR="003129C3" w:rsidRPr="00AE35C1" w:rsidTr="00F77394">
        <w:tc>
          <w:tcPr>
            <w:tcW w:w="434" w:type="dxa"/>
            <w:vMerge/>
            <w:shd w:val="clear" w:color="auto" w:fill="D9D9D9"/>
          </w:tcPr>
          <w:p w:rsidR="00E0375E" w:rsidRPr="00AE35C1" w:rsidRDefault="00E0375E" w:rsidP="00FD0968">
            <w:pPr>
              <w:spacing w:before="40" w:after="40" w:line="288" w:lineRule="auto"/>
              <w:jc w:val="center"/>
              <w:rPr>
                <w:rFonts w:cs="Calibri"/>
                <w:b/>
                <w:color w:val="000000"/>
                <w:sz w:val="18"/>
                <w:szCs w:val="18"/>
              </w:rPr>
            </w:pPr>
          </w:p>
        </w:tc>
        <w:tc>
          <w:tcPr>
            <w:tcW w:w="962" w:type="dxa"/>
            <w:vMerge/>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E0375E" w:rsidRPr="00AE35C1" w:rsidRDefault="00E0375E" w:rsidP="003129C3">
            <w:pPr>
              <w:pStyle w:val="Akapitzlist"/>
              <w:numPr>
                <w:ilvl w:val="1"/>
                <w:numId w:val="44"/>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 xml:space="preserve">Rozwój i doskonalenie usług publicznych </w:t>
            </w:r>
          </w:p>
        </w:tc>
        <w:tc>
          <w:tcPr>
            <w:tcW w:w="850" w:type="dxa"/>
            <w:shd w:val="clear" w:color="auto" w:fill="BEEAFA"/>
            <w:vAlign w:val="center"/>
          </w:tcPr>
          <w:p w:rsidR="00E0375E" w:rsidRPr="00AE35C1" w:rsidRDefault="005728D9"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3</w:t>
            </w:r>
          </w:p>
        </w:tc>
        <w:tc>
          <w:tcPr>
            <w:tcW w:w="851" w:type="dxa"/>
            <w:shd w:val="clear" w:color="auto" w:fill="BEEAFA"/>
            <w:vAlign w:val="center"/>
          </w:tcPr>
          <w:p w:rsidR="00E0375E" w:rsidRPr="00AE35C1" w:rsidRDefault="00C56EF5"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5</w:t>
            </w:r>
          </w:p>
        </w:tc>
        <w:tc>
          <w:tcPr>
            <w:tcW w:w="849" w:type="dxa"/>
            <w:shd w:val="clear" w:color="auto" w:fill="BEEAFA"/>
            <w:vAlign w:val="center"/>
          </w:tcPr>
          <w:p w:rsidR="00E0375E" w:rsidRPr="00AE35C1" w:rsidRDefault="00041CA2" w:rsidP="00C56EF5">
            <w:pPr>
              <w:spacing w:before="20" w:after="20" w:line="288" w:lineRule="auto"/>
              <w:jc w:val="center"/>
              <w:rPr>
                <w:rFonts w:ascii="Century Gothic" w:hAnsi="Century Gothic"/>
                <w:b/>
                <w:color w:val="000000"/>
                <w:sz w:val="18"/>
                <w:szCs w:val="12"/>
              </w:rPr>
            </w:pPr>
            <w:r>
              <w:rPr>
                <w:rFonts w:ascii="Century Gothic" w:hAnsi="Century Gothic"/>
                <w:b/>
                <w:color w:val="000000"/>
                <w:sz w:val="18"/>
                <w:szCs w:val="12"/>
              </w:rPr>
              <w:t>6</w:t>
            </w:r>
          </w:p>
        </w:tc>
        <w:tc>
          <w:tcPr>
            <w:tcW w:w="709" w:type="dxa"/>
            <w:shd w:val="clear" w:color="auto" w:fill="BEEAFA"/>
            <w:vAlign w:val="center"/>
          </w:tcPr>
          <w:p w:rsidR="00E0375E" w:rsidRPr="00AE35C1" w:rsidRDefault="00C56EF5"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4</w:t>
            </w:r>
          </w:p>
        </w:tc>
        <w:tc>
          <w:tcPr>
            <w:tcW w:w="964"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1446" w:type="dxa"/>
            <w:shd w:val="clear" w:color="auto" w:fill="BEEAFA"/>
            <w:vAlign w:val="center"/>
          </w:tcPr>
          <w:p w:rsidR="00E0375E" w:rsidRPr="00AE35C1" w:rsidRDefault="00C56EF5" w:rsidP="00FD0968">
            <w:pPr>
              <w:spacing w:before="20" w:after="20" w:line="288" w:lineRule="auto"/>
              <w:jc w:val="center"/>
              <w:rPr>
                <w:rFonts w:ascii="Century Gothic" w:hAnsi="Century Gothic"/>
                <w:b/>
                <w:color w:val="000000"/>
                <w:sz w:val="16"/>
                <w:szCs w:val="16"/>
              </w:rPr>
            </w:pPr>
            <w:r w:rsidRPr="00AE35C1">
              <w:rPr>
                <w:rFonts w:ascii="Century Gothic" w:hAnsi="Century Gothic"/>
                <w:b/>
                <w:color w:val="000000"/>
                <w:sz w:val="18"/>
                <w:szCs w:val="12"/>
              </w:rPr>
              <w:t>4</w:t>
            </w:r>
          </w:p>
        </w:tc>
      </w:tr>
      <w:tr w:rsidR="003129C3" w:rsidRPr="00AE35C1" w:rsidTr="00F77394">
        <w:tc>
          <w:tcPr>
            <w:tcW w:w="434" w:type="dxa"/>
            <w:vMerge w:val="restart"/>
            <w:shd w:val="clear" w:color="auto" w:fill="D9D9D9"/>
          </w:tcPr>
          <w:p w:rsidR="00E0375E" w:rsidRPr="00AE35C1" w:rsidRDefault="00E0375E" w:rsidP="00FD0968">
            <w:pPr>
              <w:spacing w:before="40" w:after="40" w:line="288" w:lineRule="auto"/>
              <w:jc w:val="center"/>
              <w:rPr>
                <w:rFonts w:cs="Calibri"/>
                <w:b/>
                <w:color w:val="000000"/>
                <w:sz w:val="18"/>
                <w:szCs w:val="18"/>
              </w:rPr>
            </w:pPr>
            <w:r w:rsidRPr="00AE35C1">
              <w:rPr>
                <w:rFonts w:cs="Calibri"/>
                <w:b/>
                <w:color w:val="000000"/>
                <w:sz w:val="18"/>
                <w:szCs w:val="18"/>
              </w:rPr>
              <w:t>3.</w:t>
            </w:r>
          </w:p>
        </w:tc>
        <w:tc>
          <w:tcPr>
            <w:tcW w:w="962" w:type="dxa"/>
            <w:vMerge w:val="restart"/>
            <w:shd w:val="clear" w:color="auto" w:fill="D9D9D9"/>
            <w:textDirection w:val="btLr"/>
            <w:vAlign w:val="center"/>
          </w:tcPr>
          <w:p w:rsidR="00E0375E" w:rsidRPr="00C83F75" w:rsidRDefault="00E0375E" w:rsidP="00FD0968">
            <w:pPr>
              <w:spacing w:before="40" w:after="0" w:line="288" w:lineRule="auto"/>
              <w:ind w:left="113" w:right="113"/>
              <w:jc w:val="center"/>
              <w:rPr>
                <w:rFonts w:ascii="Century Gothic" w:hAnsi="Century Gothic"/>
                <w:b/>
                <w:color w:val="000000"/>
                <w:sz w:val="13"/>
                <w:szCs w:val="13"/>
              </w:rPr>
            </w:pPr>
            <w:r w:rsidRPr="00C83F75">
              <w:rPr>
                <w:rFonts w:ascii="Century Gothic" w:hAnsi="Century Gothic"/>
                <w:b/>
                <w:color w:val="000000"/>
                <w:sz w:val="13"/>
                <w:szCs w:val="13"/>
              </w:rPr>
              <w:t xml:space="preserve">WZMOCNIENIE REGIONALNEGO </w:t>
            </w:r>
          </w:p>
          <w:p w:rsidR="00E0375E" w:rsidRPr="00C83F75" w:rsidRDefault="00E0375E" w:rsidP="00FD0968">
            <w:pPr>
              <w:spacing w:after="40" w:line="288" w:lineRule="auto"/>
              <w:ind w:left="113" w:right="113"/>
              <w:jc w:val="center"/>
              <w:rPr>
                <w:rFonts w:ascii="Century Gothic" w:hAnsi="Century Gothic"/>
                <w:b/>
                <w:color w:val="000000"/>
                <w:sz w:val="13"/>
                <w:szCs w:val="13"/>
              </w:rPr>
            </w:pPr>
            <w:r w:rsidRPr="00C83F75">
              <w:rPr>
                <w:rFonts w:ascii="Century Gothic" w:hAnsi="Century Gothic"/>
                <w:b/>
                <w:color w:val="000000"/>
                <w:sz w:val="13"/>
                <w:szCs w:val="13"/>
              </w:rPr>
              <w:t>KAPITAŁU LUDZKIEGO I SPOŁECZNEGO</w:t>
            </w:r>
          </w:p>
        </w:tc>
        <w:tc>
          <w:tcPr>
            <w:tcW w:w="1843" w:type="dxa"/>
            <w:shd w:val="clear" w:color="auto" w:fill="D9D9D9"/>
          </w:tcPr>
          <w:p w:rsidR="00E0375E" w:rsidRPr="00AE35C1" w:rsidRDefault="00E0375E" w:rsidP="003129C3">
            <w:pPr>
              <w:pStyle w:val="Akapitzlist"/>
              <w:numPr>
                <w:ilvl w:val="1"/>
                <w:numId w:val="45"/>
              </w:numPr>
              <w:autoSpaceDE w:val="0"/>
              <w:autoSpaceDN w:val="0"/>
              <w:adjustRightInd w:val="0"/>
              <w:spacing w:after="0" w:line="288" w:lineRule="auto"/>
              <w:ind w:left="357" w:right="-109" w:hanging="357"/>
              <w:rPr>
                <w:color w:val="000000"/>
                <w:sz w:val="14"/>
                <w:szCs w:val="14"/>
              </w:rPr>
            </w:pPr>
            <w:r w:rsidRPr="00AE35C1">
              <w:rPr>
                <w:color w:val="000000"/>
                <w:sz w:val="14"/>
                <w:szCs w:val="14"/>
              </w:rPr>
              <w:t>Kształtowanie postaw obywatelskich</w:t>
            </w:r>
          </w:p>
        </w:tc>
        <w:tc>
          <w:tcPr>
            <w:tcW w:w="850" w:type="dxa"/>
            <w:shd w:val="clear" w:color="auto" w:fill="D9D9D9"/>
            <w:vAlign w:val="center"/>
          </w:tcPr>
          <w:p w:rsidR="00E0375E" w:rsidRPr="00AE35C1" w:rsidRDefault="00E0375E" w:rsidP="00FD0968">
            <w:pPr>
              <w:spacing w:after="0" w:line="288" w:lineRule="auto"/>
              <w:jc w:val="center"/>
              <w:rPr>
                <w:rFonts w:ascii="Century Gothic" w:hAnsi="Century Gothic"/>
                <w:b/>
                <w:color w:val="000000"/>
                <w:sz w:val="16"/>
                <w:szCs w:val="16"/>
              </w:rPr>
            </w:pPr>
          </w:p>
        </w:tc>
        <w:tc>
          <w:tcPr>
            <w:tcW w:w="851"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849"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709"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964"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1446"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r>
      <w:tr w:rsidR="003129C3" w:rsidRPr="00AE35C1" w:rsidTr="00F77394">
        <w:tc>
          <w:tcPr>
            <w:tcW w:w="434" w:type="dxa"/>
            <w:vMerge/>
            <w:shd w:val="clear" w:color="auto" w:fill="D9D9D9"/>
          </w:tcPr>
          <w:p w:rsidR="00E0375E" w:rsidRPr="00AE35C1" w:rsidRDefault="00E0375E" w:rsidP="00FD0968">
            <w:pPr>
              <w:spacing w:before="40" w:after="40" w:line="288" w:lineRule="auto"/>
              <w:jc w:val="center"/>
              <w:rPr>
                <w:rFonts w:cs="Calibri"/>
                <w:b/>
                <w:color w:val="000000"/>
                <w:sz w:val="18"/>
                <w:szCs w:val="18"/>
              </w:rPr>
            </w:pPr>
          </w:p>
        </w:tc>
        <w:tc>
          <w:tcPr>
            <w:tcW w:w="962" w:type="dxa"/>
            <w:vMerge/>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E0375E" w:rsidRPr="00AE35C1" w:rsidRDefault="00E0375E" w:rsidP="003129C3">
            <w:pPr>
              <w:pStyle w:val="Akapitzlist"/>
              <w:numPr>
                <w:ilvl w:val="1"/>
                <w:numId w:val="45"/>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Wzrost społecznej integracji</w:t>
            </w:r>
          </w:p>
        </w:tc>
        <w:tc>
          <w:tcPr>
            <w:tcW w:w="850" w:type="dxa"/>
            <w:shd w:val="clear" w:color="auto" w:fill="D9D9D9"/>
            <w:vAlign w:val="center"/>
          </w:tcPr>
          <w:p w:rsidR="00E0375E" w:rsidRPr="00AE35C1" w:rsidRDefault="00E0375E" w:rsidP="00FD0968">
            <w:pPr>
              <w:spacing w:after="0" w:line="288" w:lineRule="auto"/>
              <w:jc w:val="center"/>
              <w:rPr>
                <w:rFonts w:ascii="Century Gothic" w:hAnsi="Century Gothic"/>
                <w:b/>
                <w:color w:val="000000"/>
                <w:sz w:val="16"/>
                <w:szCs w:val="16"/>
              </w:rPr>
            </w:pPr>
          </w:p>
        </w:tc>
        <w:tc>
          <w:tcPr>
            <w:tcW w:w="851"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849"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709"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964"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1446"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r>
      <w:tr w:rsidR="003129C3" w:rsidRPr="00AE35C1" w:rsidTr="00F77394">
        <w:tc>
          <w:tcPr>
            <w:tcW w:w="434" w:type="dxa"/>
            <w:vMerge/>
            <w:shd w:val="clear" w:color="auto" w:fill="D9D9D9"/>
          </w:tcPr>
          <w:p w:rsidR="00E0375E" w:rsidRPr="00AE35C1" w:rsidRDefault="00E0375E" w:rsidP="00FD0968">
            <w:pPr>
              <w:spacing w:before="40" w:after="40" w:line="288" w:lineRule="auto"/>
              <w:jc w:val="center"/>
              <w:rPr>
                <w:rFonts w:cs="Calibri"/>
                <w:b/>
                <w:color w:val="000000"/>
                <w:sz w:val="18"/>
                <w:szCs w:val="18"/>
              </w:rPr>
            </w:pPr>
          </w:p>
        </w:tc>
        <w:tc>
          <w:tcPr>
            <w:tcW w:w="962" w:type="dxa"/>
            <w:vMerge/>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E0375E" w:rsidRPr="00AE35C1" w:rsidRDefault="00E0375E" w:rsidP="003129C3">
            <w:pPr>
              <w:pStyle w:val="Akapitzlist"/>
              <w:numPr>
                <w:ilvl w:val="1"/>
                <w:numId w:val="45"/>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Doskonalenie regionalnego i lokalnych rynków pracy</w:t>
            </w:r>
          </w:p>
        </w:tc>
        <w:tc>
          <w:tcPr>
            <w:tcW w:w="850" w:type="dxa"/>
            <w:shd w:val="clear" w:color="auto" w:fill="D9D9D9"/>
            <w:vAlign w:val="center"/>
          </w:tcPr>
          <w:p w:rsidR="00E0375E" w:rsidRPr="00AE35C1" w:rsidRDefault="00E0375E" w:rsidP="00FD0968">
            <w:pPr>
              <w:spacing w:after="0" w:line="288" w:lineRule="auto"/>
              <w:jc w:val="center"/>
              <w:rPr>
                <w:rFonts w:ascii="Century Gothic" w:hAnsi="Century Gothic"/>
                <w:b/>
                <w:color w:val="000000"/>
                <w:sz w:val="16"/>
                <w:szCs w:val="16"/>
              </w:rPr>
            </w:pPr>
          </w:p>
        </w:tc>
        <w:tc>
          <w:tcPr>
            <w:tcW w:w="851"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849" w:type="dxa"/>
            <w:shd w:val="clear" w:color="auto" w:fill="BEEAFA"/>
            <w:vAlign w:val="center"/>
          </w:tcPr>
          <w:p w:rsidR="00E0375E" w:rsidRPr="00AE35C1" w:rsidRDefault="00E0375E" w:rsidP="00FD0968">
            <w:pPr>
              <w:spacing w:before="20" w:after="20" w:line="288" w:lineRule="auto"/>
              <w:jc w:val="center"/>
              <w:rPr>
                <w:rFonts w:ascii="Century Gothic" w:hAnsi="Century Gothic"/>
                <w:b/>
                <w:color w:val="000000"/>
                <w:sz w:val="18"/>
                <w:szCs w:val="12"/>
              </w:rPr>
            </w:pPr>
          </w:p>
        </w:tc>
        <w:tc>
          <w:tcPr>
            <w:tcW w:w="709" w:type="dxa"/>
            <w:shd w:val="clear" w:color="auto" w:fill="BEEAFA"/>
            <w:vAlign w:val="center"/>
          </w:tcPr>
          <w:p w:rsidR="00E0375E"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3</w:t>
            </w:r>
          </w:p>
        </w:tc>
        <w:tc>
          <w:tcPr>
            <w:tcW w:w="964" w:type="dxa"/>
            <w:shd w:val="clear" w:color="auto" w:fill="BEEAFA"/>
            <w:vAlign w:val="center"/>
          </w:tcPr>
          <w:p w:rsidR="00E0375E"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7</w:t>
            </w:r>
          </w:p>
        </w:tc>
        <w:tc>
          <w:tcPr>
            <w:tcW w:w="1446" w:type="dxa"/>
            <w:shd w:val="clear" w:color="auto" w:fill="BEEAFA"/>
            <w:vAlign w:val="center"/>
          </w:tcPr>
          <w:p w:rsidR="00E0375E"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6</w:t>
            </w:r>
          </w:p>
        </w:tc>
      </w:tr>
      <w:tr w:rsidR="00D113CA" w:rsidRPr="00AE35C1" w:rsidTr="00F77394">
        <w:tc>
          <w:tcPr>
            <w:tcW w:w="434" w:type="dxa"/>
            <w:vMerge/>
            <w:shd w:val="clear" w:color="auto" w:fill="D9D9D9"/>
          </w:tcPr>
          <w:p w:rsidR="00E0375E" w:rsidRPr="00AE35C1" w:rsidRDefault="00E0375E" w:rsidP="00FD0968">
            <w:pPr>
              <w:spacing w:before="40" w:after="40" w:line="288" w:lineRule="auto"/>
              <w:jc w:val="center"/>
              <w:rPr>
                <w:rFonts w:cs="Calibri"/>
                <w:b/>
                <w:color w:val="000000"/>
                <w:sz w:val="18"/>
                <w:szCs w:val="18"/>
              </w:rPr>
            </w:pPr>
          </w:p>
        </w:tc>
        <w:tc>
          <w:tcPr>
            <w:tcW w:w="962" w:type="dxa"/>
            <w:vMerge/>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E0375E" w:rsidRPr="00AE35C1" w:rsidRDefault="00E0375E" w:rsidP="003129C3">
            <w:pPr>
              <w:pStyle w:val="Akapitzlist"/>
              <w:numPr>
                <w:ilvl w:val="1"/>
                <w:numId w:val="45"/>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Poprawa efektywności kształcenia</w:t>
            </w:r>
          </w:p>
        </w:tc>
        <w:tc>
          <w:tcPr>
            <w:tcW w:w="850" w:type="dxa"/>
            <w:shd w:val="clear" w:color="auto" w:fill="D9D9D9"/>
            <w:vAlign w:val="center"/>
          </w:tcPr>
          <w:p w:rsidR="00E0375E" w:rsidRPr="00AE35C1" w:rsidRDefault="00E0375E" w:rsidP="00FD0968">
            <w:pPr>
              <w:spacing w:after="0" w:line="288" w:lineRule="auto"/>
              <w:jc w:val="center"/>
              <w:rPr>
                <w:rFonts w:ascii="Century Gothic" w:hAnsi="Century Gothic"/>
                <w:b/>
                <w:color w:val="000000"/>
                <w:sz w:val="16"/>
                <w:szCs w:val="16"/>
              </w:rPr>
            </w:pPr>
          </w:p>
        </w:tc>
        <w:tc>
          <w:tcPr>
            <w:tcW w:w="851"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849" w:type="dxa"/>
            <w:shd w:val="clear" w:color="auto" w:fill="C6D9F1" w:themeFill="text2" w:themeFillTint="33"/>
            <w:vAlign w:val="center"/>
          </w:tcPr>
          <w:p w:rsidR="00E0375E" w:rsidRPr="00AE35C1" w:rsidRDefault="00041CA2" w:rsidP="00FD0968">
            <w:pPr>
              <w:spacing w:before="20" w:after="20" w:line="288" w:lineRule="auto"/>
              <w:jc w:val="center"/>
              <w:rPr>
                <w:rFonts w:ascii="Century Gothic" w:hAnsi="Century Gothic"/>
                <w:b/>
                <w:color w:val="000000"/>
                <w:sz w:val="16"/>
                <w:szCs w:val="16"/>
              </w:rPr>
            </w:pPr>
            <w:r>
              <w:rPr>
                <w:rFonts w:ascii="Century Gothic" w:hAnsi="Century Gothic"/>
                <w:b/>
                <w:color w:val="000000"/>
                <w:sz w:val="16"/>
                <w:szCs w:val="16"/>
              </w:rPr>
              <w:t>5</w:t>
            </w:r>
          </w:p>
        </w:tc>
        <w:tc>
          <w:tcPr>
            <w:tcW w:w="709"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964"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1446"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r>
      <w:tr w:rsidR="003129C3" w:rsidRPr="00AE35C1" w:rsidTr="00F77394">
        <w:tc>
          <w:tcPr>
            <w:tcW w:w="434" w:type="dxa"/>
            <w:vMerge/>
            <w:shd w:val="clear" w:color="auto" w:fill="D9D9D9"/>
          </w:tcPr>
          <w:p w:rsidR="00E0375E" w:rsidRPr="00AE35C1" w:rsidRDefault="00E0375E" w:rsidP="00FD0968">
            <w:pPr>
              <w:spacing w:before="40" w:after="40" w:line="288" w:lineRule="auto"/>
              <w:jc w:val="center"/>
              <w:rPr>
                <w:rFonts w:cs="Calibri"/>
                <w:b/>
                <w:color w:val="000000"/>
                <w:sz w:val="18"/>
                <w:szCs w:val="18"/>
              </w:rPr>
            </w:pPr>
          </w:p>
        </w:tc>
        <w:tc>
          <w:tcPr>
            <w:tcW w:w="962" w:type="dxa"/>
            <w:vMerge/>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E0375E" w:rsidRPr="00AE35C1" w:rsidRDefault="00E0375E" w:rsidP="003129C3">
            <w:pPr>
              <w:pStyle w:val="Akapitzlist"/>
              <w:numPr>
                <w:ilvl w:val="1"/>
                <w:numId w:val="45"/>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Regionalna polityka wspierania seniorów oraz osób z niepełnosprawnościami</w:t>
            </w:r>
          </w:p>
        </w:tc>
        <w:tc>
          <w:tcPr>
            <w:tcW w:w="850" w:type="dxa"/>
            <w:shd w:val="clear" w:color="auto" w:fill="BEEAFA"/>
            <w:vAlign w:val="center"/>
          </w:tcPr>
          <w:p w:rsidR="00E0375E" w:rsidRPr="00AE35C1" w:rsidRDefault="00C56EF5" w:rsidP="00C56EF5">
            <w:pPr>
              <w:spacing w:before="20" w:after="20" w:line="288" w:lineRule="auto"/>
              <w:jc w:val="center"/>
              <w:rPr>
                <w:rFonts w:ascii="Century Gothic" w:hAnsi="Century Gothic"/>
                <w:b/>
                <w:color w:val="000000"/>
                <w:sz w:val="16"/>
                <w:szCs w:val="16"/>
              </w:rPr>
            </w:pPr>
            <w:r w:rsidRPr="00AE35C1">
              <w:rPr>
                <w:rFonts w:ascii="Century Gothic" w:hAnsi="Century Gothic"/>
                <w:b/>
                <w:color w:val="000000"/>
                <w:sz w:val="18"/>
                <w:szCs w:val="12"/>
              </w:rPr>
              <w:t>6</w:t>
            </w:r>
          </w:p>
        </w:tc>
        <w:tc>
          <w:tcPr>
            <w:tcW w:w="851"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849"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709"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964"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1446"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r>
      <w:tr w:rsidR="003129C3" w:rsidRPr="00AE35C1" w:rsidTr="00F77394">
        <w:tc>
          <w:tcPr>
            <w:tcW w:w="434" w:type="dxa"/>
            <w:vMerge/>
            <w:shd w:val="clear" w:color="auto" w:fill="D9D9D9"/>
          </w:tcPr>
          <w:p w:rsidR="00E0375E" w:rsidRPr="00AE35C1" w:rsidRDefault="00E0375E" w:rsidP="00FD0968">
            <w:pPr>
              <w:spacing w:before="40" w:after="40" w:line="288" w:lineRule="auto"/>
              <w:jc w:val="center"/>
              <w:rPr>
                <w:rFonts w:cs="Calibri"/>
                <w:b/>
                <w:color w:val="000000"/>
                <w:sz w:val="18"/>
                <w:szCs w:val="18"/>
              </w:rPr>
            </w:pPr>
          </w:p>
        </w:tc>
        <w:tc>
          <w:tcPr>
            <w:tcW w:w="962" w:type="dxa"/>
            <w:vMerge/>
            <w:shd w:val="clear" w:color="auto" w:fill="D9D9D9"/>
            <w:textDirection w:val="btLr"/>
            <w:vAlign w:val="center"/>
          </w:tcPr>
          <w:p w:rsidR="00E0375E" w:rsidRPr="00C83F75" w:rsidRDefault="00E0375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E0375E" w:rsidRPr="00AE35C1" w:rsidRDefault="00E0375E" w:rsidP="003129C3">
            <w:pPr>
              <w:pStyle w:val="Akapitzlist"/>
              <w:numPr>
                <w:ilvl w:val="1"/>
                <w:numId w:val="45"/>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Kształtowanie postaw prozdrowotnych i </w:t>
            </w:r>
            <w:proofErr w:type="spellStart"/>
            <w:r w:rsidRPr="00AE35C1">
              <w:rPr>
                <w:color w:val="000000"/>
                <w:sz w:val="14"/>
                <w:szCs w:val="14"/>
              </w:rPr>
              <w:t>prosportowych</w:t>
            </w:r>
            <w:proofErr w:type="spellEnd"/>
          </w:p>
        </w:tc>
        <w:tc>
          <w:tcPr>
            <w:tcW w:w="850" w:type="dxa"/>
            <w:tcBorders>
              <w:bottom w:val="single" w:sz="18" w:space="0" w:color="FFFFFF"/>
            </w:tcBorders>
            <w:shd w:val="clear" w:color="auto" w:fill="D9D9D9"/>
            <w:vAlign w:val="center"/>
          </w:tcPr>
          <w:p w:rsidR="00E0375E" w:rsidRPr="00AE35C1" w:rsidRDefault="00E0375E" w:rsidP="00FD0968">
            <w:pPr>
              <w:spacing w:after="0" w:line="288" w:lineRule="auto"/>
              <w:jc w:val="center"/>
              <w:rPr>
                <w:rFonts w:ascii="Century Gothic" w:hAnsi="Century Gothic"/>
                <w:b/>
                <w:color w:val="000000"/>
                <w:sz w:val="16"/>
                <w:szCs w:val="16"/>
              </w:rPr>
            </w:pPr>
          </w:p>
        </w:tc>
        <w:tc>
          <w:tcPr>
            <w:tcW w:w="851"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849" w:type="dxa"/>
            <w:tcBorders>
              <w:bottom w:val="single" w:sz="18" w:space="0" w:color="FFFFFF"/>
            </w:tcBorders>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709"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964"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c>
          <w:tcPr>
            <w:tcW w:w="1446" w:type="dxa"/>
            <w:shd w:val="clear" w:color="auto" w:fill="D9D9D9"/>
            <w:vAlign w:val="center"/>
          </w:tcPr>
          <w:p w:rsidR="00E0375E" w:rsidRPr="00AE35C1" w:rsidRDefault="00E0375E" w:rsidP="00FD0968">
            <w:pPr>
              <w:spacing w:before="20" w:after="20" w:line="288" w:lineRule="auto"/>
              <w:jc w:val="center"/>
              <w:rPr>
                <w:rFonts w:ascii="Century Gothic" w:hAnsi="Century Gothic"/>
                <w:b/>
                <w:color w:val="000000"/>
                <w:sz w:val="16"/>
                <w:szCs w:val="16"/>
              </w:rPr>
            </w:pPr>
          </w:p>
        </w:tc>
      </w:tr>
      <w:tr w:rsidR="003129C3" w:rsidRPr="00AE35C1" w:rsidTr="00F77394">
        <w:tc>
          <w:tcPr>
            <w:tcW w:w="434" w:type="dxa"/>
            <w:vMerge w:val="restart"/>
            <w:shd w:val="clear" w:color="auto" w:fill="D9D9D9"/>
          </w:tcPr>
          <w:p w:rsidR="00785A3E" w:rsidRPr="00AE35C1" w:rsidRDefault="00785A3E" w:rsidP="00FD0968">
            <w:pPr>
              <w:spacing w:before="40" w:after="40" w:line="288" w:lineRule="auto"/>
              <w:jc w:val="center"/>
              <w:rPr>
                <w:rFonts w:cs="Calibri"/>
                <w:b/>
                <w:color w:val="000000"/>
                <w:sz w:val="18"/>
                <w:szCs w:val="18"/>
              </w:rPr>
            </w:pPr>
            <w:r w:rsidRPr="00AE35C1">
              <w:rPr>
                <w:rFonts w:cs="Calibri"/>
                <w:b/>
                <w:color w:val="000000"/>
                <w:sz w:val="18"/>
                <w:szCs w:val="18"/>
              </w:rPr>
              <w:t>4.</w:t>
            </w:r>
          </w:p>
        </w:tc>
        <w:tc>
          <w:tcPr>
            <w:tcW w:w="962" w:type="dxa"/>
            <w:vMerge w:val="restart"/>
            <w:shd w:val="clear" w:color="auto" w:fill="D9D9D9"/>
            <w:textDirection w:val="btLr"/>
            <w:vAlign w:val="center"/>
          </w:tcPr>
          <w:p w:rsidR="00785A3E" w:rsidRPr="00C83F75" w:rsidRDefault="00785A3E" w:rsidP="00FD0968">
            <w:pPr>
              <w:spacing w:before="40" w:after="40" w:line="288" w:lineRule="auto"/>
              <w:ind w:left="113" w:right="113"/>
              <w:jc w:val="center"/>
              <w:rPr>
                <w:rFonts w:ascii="Century Gothic" w:hAnsi="Century Gothic"/>
                <w:b/>
                <w:color w:val="000000"/>
                <w:sz w:val="13"/>
                <w:szCs w:val="13"/>
              </w:rPr>
            </w:pPr>
            <w:r w:rsidRPr="00C83F75">
              <w:rPr>
                <w:rFonts w:ascii="Century Gothic" w:hAnsi="Century Gothic"/>
                <w:b/>
                <w:color w:val="000000"/>
                <w:sz w:val="13"/>
                <w:szCs w:val="13"/>
              </w:rPr>
              <w:t>ODPOWIEDZIALNE WYKORZYSTANIE ZASOBÓW I OCHRONA WALORÓW ŚRODOWISKA NATURALNEGO I DZIEDZICTWA KULTUROWEGO</w:t>
            </w:r>
          </w:p>
        </w:tc>
        <w:tc>
          <w:tcPr>
            <w:tcW w:w="1843" w:type="dxa"/>
            <w:shd w:val="clear" w:color="auto" w:fill="D9D9D9"/>
          </w:tcPr>
          <w:p w:rsidR="00785A3E" w:rsidRPr="00AE35C1" w:rsidRDefault="00785A3E" w:rsidP="003129C3">
            <w:pPr>
              <w:pStyle w:val="Akapitzlist"/>
              <w:numPr>
                <w:ilvl w:val="1"/>
                <w:numId w:val="46"/>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 xml:space="preserve">Poprawa stanu wszystkich komponentów środowiska </w:t>
            </w:r>
          </w:p>
        </w:tc>
        <w:tc>
          <w:tcPr>
            <w:tcW w:w="850" w:type="dxa"/>
            <w:tcBorders>
              <w:bottom w:val="single" w:sz="18" w:space="0" w:color="FFFFFF"/>
            </w:tcBorders>
            <w:shd w:val="clear" w:color="auto" w:fill="BEEAFA"/>
            <w:vAlign w:val="center"/>
          </w:tcPr>
          <w:p w:rsidR="00785A3E" w:rsidRPr="00AE35C1" w:rsidRDefault="00C56EF5"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5</w:t>
            </w:r>
          </w:p>
        </w:tc>
        <w:tc>
          <w:tcPr>
            <w:tcW w:w="851" w:type="dxa"/>
            <w:tcBorders>
              <w:bottom w:val="single" w:sz="18" w:space="0" w:color="FFFFFF"/>
            </w:tcBorders>
            <w:shd w:val="clear" w:color="auto" w:fill="BEEAFA"/>
            <w:vAlign w:val="center"/>
          </w:tcPr>
          <w:p w:rsidR="00785A3E" w:rsidRPr="00AE35C1" w:rsidRDefault="00C56EF5" w:rsidP="00C56EF5">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3</w:t>
            </w:r>
          </w:p>
        </w:tc>
        <w:tc>
          <w:tcPr>
            <w:tcW w:w="849" w:type="dxa"/>
            <w:tcBorders>
              <w:bottom w:val="single" w:sz="18" w:space="0" w:color="FFFFFF"/>
            </w:tcBorders>
            <w:shd w:val="clear" w:color="auto" w:fill="BEEAFA"/>
            <w:vAlign w:val="center"/>
          </w:tcPr>
          <w:p w:rsidR="00785A3E" w:rsidRPr="00AE35C1" w:rsidRDefault="00041CA2" w:rsidP="00C56EF5">
            <w:pPr>
              <w:spacing w:before="20" w:after="20" w:line="288" w:lineRule="auto"/>
              <w:jc w:val="center"/>
              <w:rPr>
                <w:rFonts w:ascii="Century Gothic" w:hAnsi="Century Gothic"/>
                <w:b/>
                <w:color w:val="000000"/>
                <w:sz w:val="18"/>
                <w:szCs w:val="12"/>
              </w:rPr>
            </w:pPr>
            <w:r>
              <w:rPr>
                <w:rFonts w:ascii="Century Gothic" w:hAnsi="Century Gothic"/>
                <w:b/>
                <w:color w:val="000000"/>
                <w:sz w:val="18"/>
                <w:szCs w:val="12"/>
              </w:rPr>
              <w:t>4</w:t>
            </w:r>
          </w:p>
        </w:tc>
        <w:tc>
          <w:tcPr>
            <w:tcW w:w="709" w:type="dxa"/>
            <w:tcBorders>
              <w:bottom w:val="single" w:sz="18" w:space="0" w:color="FFFFFF"/>
            </w:tcBorders>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c>
          <w:tcPr>
            <w:tcW w:w="964" w:type="dxa"/>
            <w:tcBorders>
              <w:bottom w:val="single" w:sz="18" w:space="0" w:color="FFFFFF"/>
            </w:tcBorders>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c>
          <w:tcPr>
            <w:tcW w:w="1446" w:type="dxa"/>
            <w:tcBorders>
              <w:bottom w:val="single" w:sz="18" w:space="0" w:color="FFFFFF"/>
            </w:tcBorders>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r>
      <w:tr w:rsidR="003129C3" w:rsidRPr="00AE35C1" w:rsidTr="00F77394">
        <w:tc>
          <w:tcPr>
            <w:tcW w:w="434" w:type="dxa"/>
            <w:vMerge/>
            <w:shd w:val="clear" w:color="auto" w:fill="D9D9D9"/>
          </w:tcPr>
          <w:p w:rsidR="00785A3E" w:rsidRPr="00AE35C1" w:rsidRDefault="00785A3E" w:rsidP="00FD0968">
            <w:pPr>
              <w:spacing w:before="40" w:after="40" w:line="288" w:lineRule="auto"/>
              <w:jc w:val="center"/>
              <w:rPr>
                <w:rFonts w:cs="Calibri"/>
                <w:color w:val="000000"/>
                <w:sz w:val="18"/>
                <w:szCs w:val="18"/>
              </w:rPr>
            </w:pPr>
          </w:p>
        </w:tc>
        <w:tc>
          <w:tcPr>
            <w:tcW w:w="962" w:type="dxa"/>
            <w:vMerge/>
            <w:shd w:val="clear" w:color="auto" w:fill="D9D9D9"/>
            <w:textDirection w:val="btLr"/>
            <w:vAlign w:val="center"/>
          </w:tcPr>
          <w:p w:rsidR="00785A3E" w:rsidRPr="00C83F75" w:rsidRDefault="00785A3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785A3E" w:rsidRPr="00AE35C1" w:rsidRDefault="00785A3E" w:rsidP="003129C3">
            <w:pPr>
              <w:pStyle w:val="Akapitzlist"/>
              <w:numPr>
                <w:ilvl w:val="1"/>
                <w:numId w:val="46"/>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Racjonalne wykorzystanie walorów i zasobów środowiska</w:t>
            </w:r>
          </w:p>
        </w:tc>
        <w:tc>
          <w:tcPr>
            <w:tcW w:w="850" w:type="dxa"/>
            <w:tcBorders>
              <w:tr2bl w:val="nil"/>
            </w:tcBorders>
            <w:shd w:val="clear" w:color="auto" w:fill="D9D9D9"/>
            <w:vAlign w:val="center"/>
          </w:tcPr>
          <w:p w:rsidR="00785A3E" w:rsidRPr="00AE35C1" w:rsidRDefault="00785A3E" w:rsidP="00FD0968">
            <w:pPr>
              <w:spacing w:after="0" w:line="288" w:lineRule="auto"/>
              <w:jc w:val="center"/>
              <w:rPr>
                <w:rFonts w:ascii="Century Gothic" w:hAnsi="Century Gothic"/>
                <w:b/>
                <w:color w:val="000000"/>
                <w:sz w:val="18"/>
                <w:szCs w:val="12"/>
              </w:rPr>
            </w:pPr>
          </w:p>
        </w:tc>
        <w:tc>
          <w:tcPr>
            <w:tcW w:w="851" w:type="dxa"/>
            <w:tcBorders>
              <w:tr2bl w:val="nil"/>
            </w:tcBorders>
            <w:shd w:val="clear" w:color="auto" w:fill="BEEAFA"/>
            <w:vAlign w:val="center"/>
          </w:tcPr>
          <w:p w:rsidR="00785A3E"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7</w:t>
            </w:r>
          </w:p>
        </w:tc>
        <w:tc>
          <w:tcPr>
            <w:tcW w:w="849" w:type="dxa"/>
            <w:tcBorders>
              <w:tr2bl w:val="nil"/>
            </w:tcBorders>
            <w:shd w:val="clear" w:color="auto" w:fill="BEEAFA"/>
            <w:vAlign w:val="center"/>
          </w:tcPr>
          <w:p w:rsidR="00785A3E"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7</w:t>
            </w:r>
          </w:p>
        </w:tc>
        <w:tc>
          <w:tcPr>
            <w:tcW w:w="709" w:type="dxa"/>
            <w:tcBorders>
              <w:tr2bl w:val="nil"/>
            </w:tcBorders>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c>
          <w:tcPr>
            <w:tcW w:w="964" w:type="dxa"/>
            <w:tcBorders>
              <w:tr2bl w:val="nil"/>
            </w:tcBorders>
            <w:shd w:val="clear" w:color="auto" w:fill="BEEAFA"/>
            <w:vAlign w:val="center"/>
          </w:tcPr>
          <w:p w:rsidR="00785A3E"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3</w:t>
            </w:r>
          </w:p>
        </w:tc>
        <w:tc>
          <w:tcPr>
            <w:tcW w:w="1446" w:type="dxa"/>
            <w:tcBorders>
              <w:tr2bl w:val="nil"/>
            </w:tcBorders>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r>
      <w:tr w:rsidR="003129C3" w:rsidRPr="00AE35C1" w:rsidTr="00F77394">
        <w:trPr>
          <w:trHeight w:val="35"/>
        </w:trPr>
        <w:tc>
          <w:tcPr>
            <w:tcW w:w="434" w:type="dxa"/>
            <w:vMerge/>
            <w:shd w:val="clear" w:color="auto" w:fill="D9D9D9"/>
          </w:tcPr>
          <w:p w:rsidR="00785A3E" w:rsidRPr="00AE35C1" w:rsidRDefault="00785A3E" w:rsidP="00FD0968">
            <w:pPr>
              <w:spacing w:before="40" w:after="40" w:line="288" w:lineRule="auto"/>
              <w:jc w:val="center"/>
              <w:rPr>
                <w:rFonts w:cs="Calibri"/>
                <w:color w:val="000000"/>
                <w:sz w:val="18"/>
                <w:szCs w:val="18"/>
              </w:rPr>
            </w:pPr>
          </w:p>
        </w:tc>
        <w:tc>
          <w:tcPr>
            <w:tcW w:w="962" w:type="dxa"/>
            <w:vMerge/>
            <w:shd w:val="clear" w:color="auto" w:fill="D9D9D9"/>
            <w:textDirection w:val="btLr"/>
            <w:vAlign w:val="center"/>
          </w:tcPr>
          <w:p w:rsidR="00785A3E" w:rsidRPr="00C83F75" w:rsidRDefault="00785A3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785A3E" w:rsidRPr="00AE35C1" w:rsidRDefault="00785A3E" w:rsidP="003129C3">
            <w:pPr>
              <w:pStyle w:val="Akapitzlist"/>
              <w:numPr>
                <w:ilvl w:val="1"/>
                <w:numId w:val="46"/>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Ochrona przed klęskami żywiołowymi</w:t>
            </w:r>
          </w:p>
        </w:tc>
        <w:tc>
          <w:tcPr>
            <w:tcW w:w="850" w:type="dxa"/>
            <w:shd w:val="clear" w:color="auto" w:fill="BEEAFA"/>
            <w:vAlign w:val="center"/>
          </w:tcPr>
          <w:p w:rsidR="00785A3E" w:rsidRPr="00AE35C1" w:rsidRDefault="00C56EF5" w:rsidP="00FD0968">
            <w:pPr>
              <w:spacing w:after="0" w:line="288" w:lineRule="auto"/>
              <w:jc w:val="center"/>
              <w:rPr>
                <w:rFonts w:ascii="Century Gothic" w:hAnsi="Century Gothic"/>
                <w:b/>
                <w:color w:val="000000"/>
                <w:sz w:val="18"/>
                <w:szCs w:val="12"/>
              </w:rPr>
            </w:pPr>
            <w:r w:rsidRPr="00AE35C1">
              <w:rPr>
                <w:rFonts w:ascii="Century Gothic" w:hAnsi="Century Gothic"/>
                <w:b/>
                <w:color w:val="000000"/>
                <w:sz w:val="18"/>
                <w:szCs w:val="12"/>
              </w:rPr>
              <w:t>7</w:t>
            </w:r>
          </w:p>
        </w:tc>
        <w:tc>
          <w:tcPr>
            <w:tcW w:w="851"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c>
          <w:tcPr>
            <w:tcW w:w="849"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c>
          <w:tcPr>
            <w:tcW w:w="709"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c>
          <w:tcPr>
            <w:tcW w:w="964"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c>
          <w:tcPr>
            <w:tcW w:w="1446"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r>
      <w:tr w:rsidR="003129C3" w:rsidRPr="00AE35C1" w:rsidTr="00F77394">
        <w:tc>
          <w:tcPr>
            <w:tcW w:w="434" w:type="dxa"/>
            <w:vMerge/>
            <w:shd w:val="clear" w:color="auto" w:fill="D9D9D9"/>
          </w:tcPr>
          <w:p w:rsidR="00785A3E" w:rsidRPr="00AE35C1" w:rsidRDefault="00785A3E" w:rsidP="00FD0968">
            <w:pPr>
              <w:spacing w:before="40" w:after="40" w:line="288" w:lineRule="auto"/>
              <w:jc w:val="center"/>
              <w:rPr>
                <w:rFonts w:cs="Calibri"/>
                <w:color w:val="000000"/>
                <w:sz w:val="18"/>
                <w:szCs w:val="18"/>
              </w:rPr>
            </w:pPr>
          </w:p>
        </w:tc>
        <w:tc>
          <w:tcPr>
            <w:tcW w:w="962" w:type="dxa"/>
            <w:vMerge/>
            <w:shd w:val="clear" w:color="auto" w:fill="D9D9D9"/>
            <w:textDirection w:val="btLr"/>
            <w:vAlign w:val="center"/>
          </w:tcPr>
          <w:p w:rsidR="00785A3E" w:rsidRPr="00C83F75" w:rsidRDefault="00785A3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785A3E" w:rsidRPr="00AE35C1" w:rsidRDefault="00785A3E" w:rsidP="003129C3">
            <w:pPr>
              <w:pStyle w:val="Akapitzlist"/>
              <w:numPr>
                <w:ilvl w:val="1"/>
                <w:numId w:val="46"/>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Wspieranie produkcji energii ze źródeł odnawialnych oraz wspieranie bezpieczeństwa energetycznego</w:t>
            </w:r>
          </w:p>
        </w:tc>
        <w:tc>
          <w:tcPr>
            <w:tcW w:w="850" w:type="dxa"/>
            <w:shd w:val="clear" w:color="auto" w:fill="D9D9D9"/>
            <w:vAlign w:val="center"/>
          </w:tcPr>
          <w:p w:rsidR="00785A3E" w:rsidRPr="00AE35C1" w:rsidRDefault="00785A3E" w:rsidP="00FD0968">
            <w:pPr>
              <w:spacing w:after="0" w:line="288" w:lineRule="auto"/>
              <w:jc w:val="center"/>
              <w:rPr>
                <w:rFonts w:ascii="Century Gothic" w:hAnsi="Century Gothic"/>
                <w:b/>
                <w:color w:val="000000"/>
                <w:sz w:val="16"/>
                <w:szCs w:val="12"/>
              </w:rPr>
            </w:pPr>
          </w:p>
        </w:tc>
        <w:tc>
          <w:tcPr>
            <w:tcW w:w="851"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c>
          <w:tcPr>
            <w:tcW w:w="849"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c>
          <w:tcPr>
            <w:tcW w:w="709"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c>
          <w:tcPr>
            <w:tcW w:w="964"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c>
          <w:tcPr>
            <w:tcW w:w="1446"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r>
      <w:tr w:rsidR="003129C3" w:rsidRPr="00AE35C1" w:rsidTr="00F77394">
        <w:tc>
          <w:tcPr>
            <w:tcW w:w="434" w:type="dxa"/>
            <w:vMerge/>
            <w:shd w:val="clear" w:color="auto" w:fill="D9D9D9"/>
          </w:tcPr>
          <w:p w:rsidR="00785A3E" w:rsidRPr="00AE35C1" w:rsidRDefault="00785A3E" w:rsidP="00FD0968">
            <w:pPr>
              <w:spacing w:before="40" w:after="40" w:line="288" w:lineRule="auto"/>
              <w:jc w:val="center"/>
              <w:rPr>
                <w:rFonts w:cs="Calibri"/>
                <w:color w:val="000000"/>
                <w:sz w:val="18"/>
                <w:szCs w:val="18"/>
              </w:rPr>
            </w:pPr>
          </w:p>
        </w:tc>
        <w:tc>
          <w:tcPr>
            <w:tcW w:w="962" w:type="dxa"/>
            <w:vMerge/>
            <w:shd w:val="clear" w:color="auto" w:fill="D9D9D9"/>
            <w:textDirection w:val="btLr"/>
            <w:vAlign w:val="center"/>
          </w:tcPr>
          <w:p w:rsidR="00785A3E" w:rsidRPr="00C83F75" w:rsidRDefault="00785A3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785A3E" w:rsidRPr="00AE35C1" w:rsidRDefault="00785A3E" w:rsidP="003129C3">
            <w:pPr>
              <w:pStyle w:val="Akapitzlist"/>
              <w:numPr>
                <w:ilvl w:val="1"/>
                <w:numId w:val="46"/>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Ochrona obiektów i terenów dziedzictwa kulturowego</w:t>
            </w:r>
          </w:p>
        </w:tc>
        <w:tc>
          <w:tcPr>
            <w:tcW w:w="850" w:type="dxa"/>
            <w:shd w:val="clear" w:color="auto" w:fill="D9D9D9"/>
            <w:vAlign w:val="center"/>
          </w:tcPr>
          <w:p w:rsidR="00785A3E" w:rsidRPr="00AE35C1" w:rsidRDefault="00785A3E" w:rsidP="00FD0968">
            <w:pPr>
              <w:spacing w:after="0" w:line="288" w:lineRule="auto"/>
              <w:jc w:val="center"/>
              <w:rPr>
                <w:rFonts w:ascii="Century Gothic" w:hAnsi="Century Gothic"/>
                <w:b/>
                <w:color w:val="000000"/>
                <w:sz w:val="16"/>
                <w:szCs w:val="12"/>
              </w:rPr>
            </w:pPr>
          </w:p>
        </w:tc>
        <w:tc>
          <w:tcPr>
            <w:tcW w:w="851"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c>
          <w:tcPr>
            <w:tcW w:w="849"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c>
          <w:tcPr>
            <w:tcW w:w="709"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c>
          <w:tcPr>
            <w:tcW w:w="964"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c>
          <w:tcPr>
            <w:tcW w:w="1446" w:type="dxa"/>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6"/>
                <w:szCs w:val="12"/>
              </w:rPr>
            </w:pPr>
          </w:p>
        </w:tc>
      </w:tr>
      <w:tr w:rsidR="003129C3" w:rsidRPr="00AE35C1" w:rsidTr="00F77394">
        <w:tc>
          <w:tcPr>
            <w:tcW w:w="434" w:type="dxa"/>
            <w:vMerge/>
            <w:shd w:val="clear" w:color="auto" w:fill="D9D9D9"/>
          </w:tcPr>
          <w:p w:rsidR="00785A3E" w:rsidRPr="00AE35C1" w:rsidRDefault="00785A3E" w:rsidP="00FD0968">
            <w:pPr>
              <w:spacing w:before="40" w:after="40" w:line="288" w:lineRule="auto"/>
              <w:jc w:val="center"/>
              <w:rPr>
                <w:rFonts w:cs="Calibri"/>
                <w:color w:val="000000"/>
                <w:sz w:val="18"/>
                <w:szCs w:val="18"/>
              </w:rPr>
            </w:pPr>
          </w:p>
        </w:tc>
        <w:tc>
          <w:tcPr>
            <w:tcW w:w="962" w:type="dxa"/>
            <w:vMerge/>
            <w:shd w:val="clear" w:color="auto" w:fill="D9D9D9"/>
            <w:textDirection w:val="btLr"/>
            <w:vAlign w:val="center"/>
          </w:tcPr>
          <w:p w:rsidR="00785A3E" w:rsidRPr="00C83F75" w:rsidRDefault="00785A3E" w:rsidP="00FD0968">
            <w:pPr>
              <w:spacing w:before="40" w:after="40" w:line="288" w:lineRule="auto"/>
              <w:ind w:left="113" w:right="113"/>
              <w:jc w:val="center"/>
              <w:rPr>
                <w:rFonts w:ascii="Century Gothic" w:hAnsi="Century Gothic"/>
                <w:b/>
                <w:color w:val="000000"/>
                <w:sz w:val="13"/>
                <w:szCs w:val="13"/>
              </w:rPr>
            </w:pPr>
          </w:p>
        </w:tc>
        <w:tc>
          <w:tcPr>
            <w:tcW w:w="1843" w:type="dxa"/>
            <w:shd w:val="clear" w:color="auto" w:fill="D9D9D9"/>
          </w:tcPr>
          <w:p w:rsidR="00785A3E" w:rsidRPr="00AE35C1" w:rsidRDefault="00785A3E" w:rsidP="003129C3">
            <w:pPr>
              <w:pStyle w:val="Akapitzlist"/>
              <w:numPr>
                <w:ilvl w:val="1"/>
                <w:numId w:val="46"/>
              </w:numPr>
              <w:suppressAutoHyphens/>
              <w:autoSpaceDE w:val="0"/>
              <w:autoSpaceDN w:val="0"/>
              <w:adjustRightInd w:val="0"/>
              <w:spacing w:after="0" w:line="288" w:lineRule="auto"/>
              <w:ind w:left="357" w:right="-109" w:hanging="357"/>
              <w:contextualSpacing w:val="0"/>
              <w:rPr>
                <w:color w:val="000000"/>
                <w:sz w:val="14"/>
                <w:szCs w:val="14"/>
              </w:rPr>
            </w:pPr>
            <w:r w:rsidRPr="00AE35C1">
              <w:rPr>
                <w:color w:val="000000"/>
                <w:sz w:val="14"/>
                <w:szCs w:val="14"/>
              </w:rPr>
              <w:t>Rozwój gospodarki o obiegu zamkniętym</w:t>
            </w:r>
          </w:p>
        </w:tc>
        <w:tc>
          <w:tcPr>
            <w:tcW w:w="850" w:type="dxa"/>
            <w:tcBorders>
              <w:bottom w:val="single" w:sz="18" w:space="0" w:color="FFFFFF"/>
            </w:tcBorders>
            <w:shd w:val="clear" w:color="auto" w:fill="D9D9D9"/>
            <w:vAlign w:val="center"/>
          </w:tcPr>
          <w:p w:rsidR="00785A3E" w:rsidRPr="00AE35C1" w:rsidRDefault="00785A3E" w:rsidP="00FD0968">
            <w:pPr>
              <w:spacing w:after="0" w:line="288" w:lineRule="auto"/>
              <w:jc w:val="center"/>
              <w:rPr>
                <w:rFonts w:ascii="Century Gothic" w:hAnsi="Century Gothic"/>
                <w:b/>
                <w:color w:val="000000"/>
                <w:sz w:val="16"/>
                <w:szCs w:val="12"/>
              </w:rPr>
            </w:pPr>
          </w:p>
        </w:tc>
        <w:tc>
          <w:tcPr>
            <w:tcW w:w="851" w:type="dxa"/>
            <w:tcBorders>
              <w:bottom w:val="single" w:sz="18" w:space="0" w:color="FFFFFF"/>
            </w:tcBorders>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c>
          <w:tcPr>
            <w:tcW w:w="849" w:type="dxa"/>
            <w:tcBorders>
              <w:bottom w:val="single" w:sz="18" w:space="0" w:color="FFFFFF"/>
            </w:tcBorders>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c>
          <w:tcPr>
            <w:tcW w:w="709" w:type="dxa"/>
            <w:tcBorders>
              <w:bottom w:val="single" w:sz="18" w:space="0" w:color="FFFFFF"/>
            </w:tcBorders>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c>
          <w:tcPr>
            <w:tcW w:w="964" w:type="dxa"/>
            <w:tcBorders>
              <w:bottom w:val="single" w:sz="18" w:space="0" w:color="FFFFFF"/>
            </w:tcBorders>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c>
          <w:tcPr>
            <w:tcW w:w="1446" w:type="dxa"/>
            <w:tcBorders>
              <w:bottom w:val="single" w:sz="18" w:space="0" w:color="FFFFFF"/>
            </w:tcBorders>
            <w:shd w:val="clear" w:color="auto" w:fill="D9D9D9"/>
            <w:vAlign w:val="center"/>
          </w:tcPr>
          <w:p w:rsidR="00785A3E" w:rsidRPr="00AE35C1" w:rsidRDefault="00785A3E" w:rsidP="00FD0968">
            <w:pPr>
              <w:spacing w:before="20" w:after="20" w:line="288" w:lineRule="auto"/>
              <w:jc w:val="center"/>
              <w:rPr>
                <w:rFonts w:ascii="Century Gothic" w:hAnsi="Century Gothic"/>
                <w:b/>
                <w:color w:val="000000"/>
                <w:sz w:val="18"/>
                <w:szCs w:val="12"/>
              </w:rPr>
            </w:pPr>
          </w:p>
        </w:tc>
      </w:tr>
      <w:tr w:rsidR="003129C3" w:rsidRPr="00AE35C1" w:rsidTr="00F77394">
        <w:tc>
          <w:tcPr>
            <w:tcW w:w="434" w:type="dxa"/>
            <w:vMerge w:val="restart"/>
            <w:shd w:val="clear" w:color="auto" w:fill="D9D9D9"/>
          </w:tcPr>
          <w:p w:rsidR="005F10CB" w:rsidRPr="00AE35C1" w:rsidRDefault="005F10CB" w:rsidP="00FD0968">
            <w:pPr>
              <w:spacing w:before="40" w:after="40" w:line="288" w:lineRule="auto"/>
              <w:jc w:val="center"/>
              <w:rPr>
                <w:rFonts w:cs="Calibri"/>
                <w:b/>
                <w:color w:val="000000"/>
                <w:sz w:val="18"/>
                <w:szCs w:val="18"/>
              </w:rPr>
            </w:pPr>
            <w:r w:rsidRPr="00AE35C1">
              <w:rPr>
                <w:rFonts w:cs="Calibri"/>
                <w:b/>
                <w:color w:val="000000"/>
                <w:sz w:val="18"/>
                <w:szCs w:val="18"/>
              </w:rPr>
              <w:t>5.</w:t>
            </w:r>
          </w:p>
        </w:tc>
        <w:tc>
          <w:tcPr>
            <w:tcW w:w="962" w:type="dxa"/>
            <w:vMerge w:val="restart"/>
            <w:shd w:val="clear" w:color="auto" w:fill="D9D9D9"/>
            <w:textDirection w:val="btLr"/>
            <w:vAlign w:val="center"/>
          </w:tcPr>
          <w:p w:rsidR="005F10CB" w:rsidRPr="00C83F75" w:rsidRDefault="005F10CB" w:rsidP="00FD0968">
            <w:pPr>
              <w:spacing w:before="40" w:after="40" w:line="288" w:lineRule="auto"/>
              <w:ind w:left="113" w:right="113"/>
              <w:jc w:val="center"/>
              <w:rPr>
                <w:rFonts w:ascii="Century Gothic" w:hAnsi="Century Gothic"/>
                <w:b/>
                <w:color w:val="000000"/>
                <w:sz w:val="13"/>
                <w:szCs w:val="13"/>
              </w:rPr>
            </w:pPr>
            <w:r w:rsidRPr="00C83F75">
              <w:rPr>
                <w:rFonts w:ascii="Century Gothic" w:hAnsi="Century Gothic"/>
                <w:b/>
                <w:color w:val="000000"/>
                <w:sz w:val="13"/>
                <w:szCs w:val="13"/>
              </w:rPr>
              <w:t>WZMOCNIENIE PRZESTRZENNEJ SPÓJNOŚCI REGIONU</w:t>
            </w:r>
          </w:p>
        </w:tc>
        <w:tc>
          <w:tcPr>
            <w:tcW w:w="1843" w:type="dxa"/>
            <w:shd w:val="clear" w:color="auto" w:fill="D9D9D9"/>
          </w:tcPr>
          <w:p w:rsidR="005F10CB" w:rsidRPr="00AE35C1" w:rsidRDefault="005F10CB" w:rsidP="003129C3">
            <w:pPr>
              <w:pStyle w:val="Akapitzlist"/>
              <w:numPr>
                <w:ilvl w:val="1"/>
                <w:numId w:val="47"/>
              </w:numPr>
              <w:suppressAutoHyphens/>
              <w:spacing w:after="0" w:line="288" w:lineRule="auto"/>
              <w:ind w:left="357" w:right="-109" w:hanging="357"/>
              <w:contextualSpacing w:val="0"/>
              <w:rPr>
                <w:color w:val="000000"/>
                <w:sz w:val="14"/>
                <w:szCs w:val="14"/>
              </w:rPr>
            </w:pPr>
            <w:r w:rsidRPr="00AE35C1">
              <w:rPr>
                <w:color w:val="000000"/>
                <w:sz w:val="14"/>
                <w:szCs w:val="14"/>
              </w:rPr>
              <w:t xml:space="preserve">Rozwój regionalnej sieci </w:t>
            </w:r>
            <w:r w:rsidR="006146A6">
              <w:rPr>
                <w:color w:val="000000"/>
                <w:sz w:val="14"/>
                <w:szCs w:val="14"/>
              </w:rPr>
              <w:t>transportowej</w:t>
            </w:r>
          </w:p>
        </w:tc>
        <w:tc>
          <w:tcPr>
            <w:tcW w:w="850" w:type="dxa"/>
            <w:tcBorders>
              <w:tr2bl w:val="nil"/>
            </w:tcBorders>
            <w:shd w:val="clear" w:color="auto" w:fill="D9D9D9"/>
            <w:vAlign w:val="center"/>
          </w:tcPr>
          <w:p w:rsidR="005F10CB" w:rsidRPr="00AE35C1" w:rsidRDefault="005F10CB" w:rsidP="00FD0968">
            <w:pPr>
              <w:spacing w:after="0" w:line="288" w:lineRule="auto"/>
              <w:jc w:val="center"/>
              <w:rPr>
                <w:rFonts w:ascii="Century Gothic" w:hAnsi="Century Gothic"/>
                <w:b/>
                <w:color w:val="000000"/>
                <w:sz w:val="16"/>
                <w:szCs w:val="12"/>
              </w:rPr>
            </w:pPr>
          </w:p>
        </w:tc>
        <w:tc>
          <w:tcPr>
            <w:tcW w:w="851" w:type="dxa"/>
            <w:tcBorders>
              <w:tr2bl w:val="nil"/>
            </w:tcBorders>
            <w:shd w:val="clear" w:color="auto" w:fill="BEEAFA"/>
            <w:vAlign w:val="center"/>
          </w:tcPr>
          <w:p w:rsidR="005F10CB"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6</w:t>
            </w:r>
          </w:p>
        </w:tc>
        <w:tc>
          <w:tcPr>
            <w:tcW w:w="849" w:type="dxa"/>
            <w:tcBorders>
              <w:tr2bl w:val="nil"/>
            </w:tcBorders>
            <w:shd w:val="clear" w:color="auto" w:fill="BEEAFA"/>
            <w:vAlign w:val="center"/>
          </w:tcPr>
          <w:p w:rsidR="005F10CB"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2</w:t>
            </w:r>
          </w:p>
        </w:tc>
        <w:tc>
          <w:tcPr>
            <w:tcW w:w="709" w:type="dxa"/>
            <w:tcBorders>
              <w:tr2bl w:val="nil"/>
            </w:tcBorders>
            <w:shd w:val="clear" w:color="auto" w:fill="BEEAFA"/>
            <w:vAlign w:val="center"/>
          </w:tcPr>
          <w:p w:rsidR="005F10CB"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1</w:t>
            </w:r>
          </w:p>
        </w:tc>
        <w:tc>
          <w:tcPr>
            <w:tcW w:w="964" w:type="dxa"/>
            <w:tcBorders>
              <w:tr2bl w:val="nil"/>
            </w:tcBorders>
            <w:shd w:val="clear" w:color="auto" w:fill="BEEAFA"/>
            <w:vAlign w:val="center"/>
          </w:tcPr>
          <w:p w:rsidR="005F10CB"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2</w:t>
            </w:r>
          </w:p>
        </w:tc>
        <w:tc>
          <w:tcPr>
            <w:tcW w:w="1446" w:type="dxa"/>
            <w:tcBorders>
              <w:tr2bl w:val="nil"/>
            </w:tcBorders>
            <w:shd w:val="clear" w:color="auto" w:fill="BEEAFA"/>
            <w:vAlign w:val="center"/>
          </w:tcPr>
          <w:p w:rsidR="005F10CB"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3</w:t>
            </w:r>
          </w:p>
        </w:tc>
      </w:tr>
      <w:tr w:rsidR="003129C3" w:rsidRPr="00AE35C1" w:rsidTr="00F77394">
        <w:tc>
          <w:tcPr>
            <w:tcW w:w="434" w:type="dxa"/>
            <w:vMerge/>
            <w:shd w:val="clear" w:color="auto" w:fill="D9D9D9"/>
          </w:tcPr>
          <w:p w:rsidR="005F10CB" w:rsidRPr="00AE35C1" w:rsidRDefault="005F10CB" w:rsidP="00FD0968">
            <w:pPr>
              <w:spacing w:before="40" w:after="40" w:line="288" w:lineRule="auto"/>
              <w:rPr>
                <w:rFonts w:cs="Calibri"/>
                <w:color w:val="000000"/>
                <w:sz w:val="18"/>
                <w:szCs w:val="18"/>
              </w:rPr>
            </w:pPr>
          </w:p>
        </w:tc>
        <w:tc>
          <w:tcPr>
            <w:tcW w:w="962" w:type="dxa"/>
            <w:vMerge/>
            <w:shd w:val="clear" w:color="auto" w:fill="D9D9D9"/>
          </w:tcPr>
          <w:p w:rsidR="005F10CB" w:rsidRPr="00AE35C1" w:rsidRDefault="005F10CB" w:rsidP="00FD0968">
            <w:pPr>
              <w:spacing w:before="40" w:after="40" w:line="288" w:lineRule="auto"/>
              <w:rPr>
                <w:color w:val="000000"/>
                <w:sz w:val="16"/>
                <w:szCs w:val="16"/>
              </w:rPr>
            </w:pPr>
          </w:p>
        </w:tc>
        <w:tc>
          <w:tcPr>
            <w:tcW w:w="1843" w:type="dxa"/>
            <w:shd w:val="clear" w:color="auto" w:fill="D9D9D9"/>
          </w:tcPr>
          <w:p w:rsidR="005F10CB" w:rsidRPr="00AE35C1" w:rsidRDefault="005F10CB" w:rsidP="003129C3">
            <w:pPr>
              <w:pStyle w:val="Akapitzlist"/>
              <w:numPr>
                <w:ilvl w:val="1"/>
                <w:numId w:val="47"/>
              </w:numPr>
              <w:suppressAutoHyphens/>
              <w:spacing w:after="0" w:line="288" w:lineRule="auto"/>
              <w:ind w:left="357" w:right="-109" w:hanging="357"/>
              <w:contextualSpacing w:val="0"/>
              <w:rPr>
                <w:color w:val="000000"/>
                <w:sz w:val="14"/>
                <w:szCs w:val="14"/>
              </w:rPr>
            </w:pPr>
            <w:r w:rsidRPr="00AE35C1">
              <w:rPr>
                <w:color w:val="000000"/>
                <w:sz w:val="14"/>
                <w:szCs w:val="14"/>
              </w:rPr>
              <w:t>Wzrost dostępności regionalnej infrastruktury informacyjnej o wysokich standardach funkcjonalno-użytkowych</w:t>
            </w:r>
          </w:p>
        </w:tc>
        <w:tc>
          <w:tcPr>
            <w:tcW w:w="850" w:type="dxa"/>
            <w:shd w:val="clear" w:color="auto" w:fill="D9D9D9"/>
            <w:vAlign w:val="center"/>
          </w:tcPr>
          <w:p w:rsidR="005F10CB" w:rsidRPr="00AE35C1" w:rsidRDefault="005F10CB" w:rsidP="00FD0968">
            <w:pPr>
              <w:spacing w:after="0" w:line="288" w:lineRule="auto"/>
              <w:jc w:val="center"/>
              <w:rPr>
                <w:rFonts w:ascii="Century Gothic" w:hAnsi="Century Gothic"/>
                <w:b/>
                <w:color w:val="000000"/>
                <w:sz w:val="16"/>
                <w:szCs w:val="12"/>
              </w:rPr>
            </w:pPr>
          </w:p>
        </w:tc>
        <w:tc>
          <w:tcPr>
            <w:tcW w:w="851" w:type="dxa"/>
            <w:shd w:val="clear" w:color="auto" w:fill="D9D9D9"/>
            <w:vAlign w:val="center"/>
          </w:tcPr>
          <w:p w:rsidR="005F10CB" w:rsidRPr="00AE35C1" w:rsidRDefault="005F10CB" w:rsidP="00FD0968">
            <w:pPr>
              <w:spacing w:before="20" w:after="20" w:line="288" w:lineRule="auto"/>
              <w:jc w:val="center"/>
              <w:rPr>
                <w:rFonts w:ascii="Century Gothic" w:hAnsi="Century Gothic"/>
                <w:b/>
                <w:color w:val="000000"/>
                <w:sz w:val="16"/>
                <w:szCs w:val="12"/>
              </w:rPr>
            </w:pPr>
          </w:p>
        </w:tc>
        <w:tc>
          <w:tcPr>
            <w:tcW w:w="849" w:type="dxa"/>
            <w:tcBorders>
              <w:bottom w:val="single" w:sz="18" w:space="0" w:color="FFFFFF"/>
            </w:tcBorders>
            <w:shd w:val="clear" w:color="auto" w:fill="D9D9D9"/>
            <w:vAlign w:val="center"/>
          </w:tcPr>
          <w:p w:rsidR="005F10CB" w:rsidRPr="00AE35C1" w:rsidRDefault="005F10CB" w:rsidP="00FD0968">
            <w:pPr>
              <w:spacing w:before="20" w:after="20" w:line="288" w:lineRule="auto"/>
              <w:jc w:val="center"/>
              <w:rPr>
                <w:rFonts w:ascii="Century Gothic" w:hAnsi="Century Gothic"/>
                <w:b/>
                <w:color w:val="000000"/>
                <w:sz w:val="16"/>
                <w:szCs w:val="12"/>
              </w:rPr>
            </w:pPr>
          </w:p>
        </w:tc>
        <w:tc>
          <w:tcPr>
            <w:tcW w:w="709" w:type="dxa"/>
            <w:tcBorders>
              <w:bottom w:val="single" w:sz="18" w:space="0" w:color="FFFFFF"/>
            </w:tcBorders>
            <w:shd w:val="clear" w:color="auto" w:fill="D9D9D9"/>
            <w:vAlign w:val="center"/>
          </w:tcPr>
          <w:p w:rsidR="005F10CB" w:rsidRPr="00AE35C1" w:rsidRDefault="005F10CB" w:rsidP="00FD0968">
            <w:pPr>
              <w:spacing w:before="20" w:after="20" w:line="288" w:lineRule="auto"/>
              <w:jc w:val="center"/>
              <w:rPr>
                <w:rFonts w:ascii="Century Gothic" w:hAnsi="Century Gothic"/>
                <w:b/>
                <w:color w:val="000000"/>
                <w:sz w:val="16"/>
                <w:szCs w:val="12"/>
              </w:rPr>
            </w:pPr>
          </w:p>
        </w:tc>
        <w:tc>
          <w:tcPr>
            <w:tcW w:w="964" w:type="dxa"/>
            <w:tcBorders>
              <w:bottom w:val="single" w:sz="18" w:space="0" w:color="FFFFFF"/>
            </w:tcBorders>
            <w:shd w:val="clear" w:color="auto" w:fill="D9D9D9"/>
            <w:vAlign w:val="center"/>
          </w:tcPr>
          <w:p w:rsidR="005F10CB" w:rsidRPr="00AE35C1" w:rsidRDefault="005F10CB" w:rsidP="00FD0968">
            <w:pPr>
              <w:spacing w:before="20" w:after="20" w:line="288" w:lineRule="auto"/>
              <w:jc w:val="center"/>
              <w:rPr>
                <w:rFonts w:ascii="Century Gothic" w:hAnsi="Century Gothic"/>
                <w:b/>
                <w:color w:val="000000"/>
                <w:sz w:val="16"/>
                <w:szCs w:val="12"/>
              </w:rPr>
            </w:pPr>
          </w:p>
        </w:tc>
        <w:tc>
          <w:tcPr>
            <w:tcW w:w="1446" w:type="dxa"/>
            <w:shd w:val="clear" w:color="auto" w:fill="D9D9D9"/>
            <w:vAlign w:val="center"/>
          </w:tcPr>
          <w:p w:rsidR="005F10CB" w:rsidRPr="00AE35C1" w:rsidRDefault="005F10CB" w:rsidP="00FD0968">
            <w:pPr>
              <w:spacing w:before="20" w:after="20" w:line="288" w:lineRule="auto"/>
              <w:jc w:val="center"/>
              <w:rPr>
                <w:rFonts w:ascii="Century Gothic" w:hAnsi="Century Gothic"/>
                <w:b/>
                <w:color w:val="000000"/>
                <w:sz w:val="16"/>
                <w:szCs w:val="12"/>
              </w:rPr>
            </w:pPr>
          </w:p>
        </w:tc>
      </w:tr>
      <w:tr w:rsidR="003129C3" w:rsidRPr="00AE35C1" w:rsidTr="00F77394">
        <w:tc>
          <w:tcPr>
            <w:tcW w:w="434" w:type="dxa"/>
            <w:vMerge/>
            <w:shd w:val="clear" w:color="auto" w:fill="D9D9D9"/>
          </w:tcPr>
          <w:p w:rsidR="005F10CB" w:rsidRPr="00AE35C1" w:rsidRDefault="005F10CB" w:rsidP="00FD0968">
            <w:pPr>
              <w:spacing w:before="40" w:after="40" w:line="288" w:lineRule="auto"/>
              <w:rPr>
                <w:rFonts w:cs="Calibri"/>
                <w:color w:val="000000"/>
                <w:sz w:val="18"/>
                <w:szCs w:val="18"/>
              </w:rPr>
            </w:pPr>
          </w:p>
        </w:tc>
        <w:tc>
          <w:tcPr>
            <w:tcW w:w="962" w:type="dxa"/>
            <w:vMerge/>
            <w:shd w:val="clear" w:color="auto" w:fill="D9D9D9"/>
          </w:tcPr>
          <w:p w:rsidR="005F10CB" w:rsidRPr="00AE35C1" w:rsidRDefault="005F10CB" w:rsidP="00FD0968">
            <w:pPr>
              <w:spacing w:before="40" w:after="40" w:line="288" w:lineRule="auto"/>
              <w:rPr>
                <w:color w:val="000000"/>
                <w:sz w:val="16"/>
                <w:szCs w:val="16"/>
              </w:rPr>
            </w:pPr>
          </w:p>
        </w:tc>
        <w:tc>
          <w:tcPr>
            <w:tcW w:w="1843" w:type="dxa"/>
            <w:shd w:val="clear" w:color="auto" w:fill="D9D9D9"/>
          </w:tcPr>
          <w:p w:rsidR="005F10CB" w:rsidRPr="00AE35C1" w:rsidRDefault="005F10CB" w:rsidP="003129C3">
            <w:pPr>
              <w:pStyle w:val="Akapitzlist"/>
              <w:numPr>
                <w:ilvl w:val="1"/>
                <w:numId w:val="47"/>
              </w:numPr>
              <w:autoSpaceDE w:val="0"/>
              <w:autoSpaceDN w:val="0"/>
              <w:adjustRightInd w:val="0"/>
              <w:spacing w:after="0" w:line="288" w:lineRule="auto"/>
              <w:ind w:left="357" w:right="-109" w:hanging="357"/>
              <w:rPr>
                <w:color w:val="000000"/>
                <w:sz w:val="14"/>
                <w:szCs w:val="14"/>
              </w:rPr>
            </w:pPr>
            <w:r w:rsidRPr="00AE35C1">
              <w:rPr>
                <w:color w:val="000000"/>
                <w:sz w:val="14"/>
                <w:szCs w:val="14"/>
              </w:rPr>
              <w:t xml:space="preserve">Wspieranie współpracy międzyregionalnej </w:t>
            </w:r>
            <w:r w:rsidRPr="00AE35C1">
              <w:rPr>
                <w:color w:val="000000"/>
                <w:sz w:val="14"/>
                <w:szCs w:val="14"/>
              </w:rPr>
              <w:lastRenderedPageBreak/>
              <w:t>i transgranicznej</w:t>
            </w:r>
          </w:p>
        </w:tc>
        <w:tc>
          <w:tcPr>
            <w:tcW w:w="850" w:type="dxa"/>
            <w:shd w:val="clear" w:color="auto" w:fill="D9D9D9"/>
            <w:vAlign w:val="center"/>
          </w:tcPr>
          <w:p w:rsidR="005F10CB" w:rsidRPr="00AE35C1" w:rsidRDefault="005F10CB" w:rsidP="00FD0968">
            <w:pPr>
              <w:spacing w:after="0" w:line="288" w:lineRule="auto"/>
              <w:jc w:val="center"/>
              <w:rPr>
                <w:rFonts w:ascii="Century Gothic" w:hAnsi="Century Gothic"/>
                <w:b/>
                <w:color w:val="000000"/>
                <w:sz w:val="16"/>
                <w:szCs w:val="12"/>
              </w:rPr>
            </w:pPr>
          </w:p>
        </w:tc>
        <w:tc>
          <w:tcPr>
            <w:tcW w:w="851" w:type="dxa"/>
            <w:shd w:val="clear" w:color="auto" w:fill="D9D9D9"/>
            <w:vAlign w:val="center"/>
          </w:tcPr>
          <w:p w:rsidR="005F10CB" w:rsidRPr="00AE35C1" w:rsidRDefault="005F10CB" w:rsidP="00FD0968">
            <w:pPr>
              <w:spacing w:before="20" w:after="20" w:line="288" w:lineRule="auto"/>
              <w:jc w:val="center"/>
              <w:rPr>
                <w:rFonts w:ascii="Century Gothic" w:hAnsi="Century Gothic"/>
                <w:b/>
                <w:color w:val="000000"/>
                <w:sz w:val="16"/>
                <w:szCs w:val="12"/>
              </w:rPr>
            </w:pPr>
          </w:p>
        </w:tc>
        <w:tc>
          <w:tcPr>
            <w:tcW w:w="849" w:type="dxa"/>
            <w:shd w:val="clear" w:color="auto" w:fill="BEEAFA"/>
            <w:vAlign w:val="center"/>
          </w:tcPr>
          <w:p w:rsidR="005F10CB"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8</w:t>
            </w:r>
          </w:p>
        </w:tc>
        <w:tc>
          <w:tcPr>
            <w:tcW w:w="709" w:type="dxa"/>
            <w:shd w:val="clear" w:color="auto" w:fill="BEEAFA"/>
            <w:vAlign w:val="center"/>
          </w:tcPr>
          <w:p w:rsidR="005F10CB" w:rsidRPr="00AE35C1" w:rsidRDefault="00C56EF5" w:rsidP="00FD0968">
            <w:pPr>
              <w:spacing w:before="20" w:after="20" w:line="288" w:lineRule="auto"/>
              <w:jc w:val="center"/>
              <w:rPr>
                <w:rFonts w:ascii="Century Gothic" w:hAnsi="Century Gothic"/>
                <w:b/>
                <w:color w:val="000000"/>
                <w:sz w:val="18"/>
                <w:szCs w:val="12"/>
              </w:rPr>
            </w:pPr>
            <w:r w:rsidRPr="00AE35C1">
              <w:rPr>
                <w:rFonts w:ascii="Century Gothic" w:hAnsi="Century Gothic"/>
                <w:b/>
                <w:color w:val="000000"/>
                <w:sz w:val="18"/>
                <w:szCs w:val="12"/>
              </w:rPr>
              <w:t>6</w:t>
            </w:r>
          </w:p>
        </w:tc>
        <w:tc>
          <w:tcPr>
            <w:tcW w:w="964" w:type="dxa"/>
            <w:shd w:val="clear" w:color="auto" w:fill="BEEAFA"/>
            <w:vAlign w:val="center"/>
          </w:tcPr>
          <w:p w:rsidR="005F10CB" w:rsidRPr="00AE35C1" w:rsidRDefault="00C56EF5" w:rsidP="00FD0968">
            <w:pPr>
              <w:spacing w:before="20" w:after="20" w:line="288" w:lineRule="auto"/>
              <w:jc w:val="center"/>
              <w:rPr>
                <w:rFonts w:ascii="Century Gothic" w:hAnsi="Century Gothic"/>
                <w:b/>
                <w:sz w:val="18"/>
                <w:szCs w:val="12"/>
              </w:rPr>
            </w:pPr>
            <w:r w:rsidRPr="00AE35C1">
              <w:rPr>
                <w:rFonts w:ascii="Century Gothic" w:hAnsi="Century Gothic"/>
                <w:b/>
                <w:sz w:val="18"/>
                <w:szCs w:val="12"/>
              </w:rPr>
              <w:t>5</w:t>
            </w:r>
          </w:p>
        </w:tc>
        <w:tc>
          <w:tcPr>
            <w:tcW w:w="1446" w:type="dxa"/>
            <w:shd w:val="clear" w:color="auto" w:fill="D9D9D9"/>
            <w:vAlign w:val="center"/>
          </w:tcPr>
          <w:p w:rsidR="005F10CB" w:rsidRPr="00AE35C1" w:rsidRDefault="005F10CB" w:rsidP="00FD0968">
            <w:pPr>
              <w:spacing w:before="20" w:after="20" w:line="288" w:lineRule="auto"/>
              <w:jc w:val="center"/>
              <w:rPr>
                <w:rFonts w:ascii="Century Gothic" w:hAnsi="Century Gothic"/>
                <w:b/>
                <w:color w:val="000000"/>
                <w:sz w:val="16"/>
                <w:szCs w:val="12"/>
              </w:rPr>
            </w:pPr>
          </w:p>
        </w:tc>
      </w:tr>
    </w:tbl>
    <w:p w:rsidR="002240A5" w:rsidRPr="002240A5" w:rsidRDefault="002240A5" w:rsidP="002240A5">
      <w:pPr>
        <w:spacing w:after="0"/>
        <w:rPr>
          <w:vanish/>
        </w:rPr>
      </w:pPr>
    </w:p>
    <w:tbl>
      <w:tblPr>
        <w:tblW w:w="0" w:type="auto"/>
        <w:tblLook w:val="04A0"/>
      </w:tblPr>
      <w:tblGrid>
        <w:gridCol w:w="723"/>
        <w:gridCol w:w="8349"/>
      </w:tblGrid>
      <w:tr w:rsidR="006939E5" w:rsidRPr="00AE35C1" w:rsidTr="00FD0968">
        <w:tc>
          <w:tcPr>
            <w:tcW w:w="723" w:type="dxa"/>
          </w:tcPr>
          <w:p w:rsidR="006939E5" w:rsidRPr="00AE35C1" w:rsidRDefault="006939E5" w:rsidP="00FD0968">
            <w:pPr>
              <w:spacing w:after="0" w:line="288" w:lineRule="auto"/>
              <w:rPr>
                <w:rFonts w:eastAsia="Times New Roman" w:cs="Arial"/>
                <w:i/>
                <w:noProof/>
                <w:color w:val="000000"/>
                <w:sz w:val="16"/>
                <w:szCs w:val="16"/>
                <w:lang w:eastAsia="pl-PL"/>
              </w:rPr>
            </w:pPr>
            <w:r w:rsidRPr="00AE35C1">
              <w:rPr>
                <w:rFonts w:eastAsia="Times New Roman" w:cs="Arial"/>
                <w:i/>
                <w:noProof/>
                <w:color w:val="000000"/>
                <w:sz w:val="16"/>
                <w:szCs w:val="16"/>
                <w:lang w:eastAsia="pl-PL"/>
              </w:rPr>
              <w:t>Uwaga:</w:t>
            </w:r>
          </w:p>
          <w:p w:rsidR="006939E5" w:rsidRPr="00AE35C1" w:rsidRDefault="00E6670D" w:rsidP="00FD0968">
            <w:pPr>
              <w:spacing w:after="0" w:line="288" w:lineRule="auto"/>
              <w:rPr>
                <w:rFonts w:eastAsia="Times New Roman" w:cs="Arial"/>
                <w:i/>
                <w:noProof/>
                <w:color w:val="000000"/>
                <w:sz w:val="16"/>
                <w:szCs w:val="16"/>
                <w:lang w:eastAsia="pl-PL"/>
              </w:rPr>
            </w:pPr>
            <w:r>
              <w:rPr>
                <w:rFonts w:eastAsia="Times New Roman" w:cs="Arial"/>
                <w:i/>
                <w:noProof/>
                <w:color w:val="000000"/>
                <w:sz w:val="16"/>
                <w:szCs w:val="16"/>
                <w:lang w:eastAsia="pl-PL"/>
              </w:rPr>
              <w:pict>
                <v:rect id="Prostokąt 18" o:spid="_x0000_s1042" style="position:absolute;margin-left:-.5pt;margin-top:.6pt;width:18pt;height:9pt;z-index:251662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" fillcolor="#beeafa" strokecolor="white" strokeweight="1pt"/>
              </w:pict>
            </w:r>
          </w:p>
        </w:tc>
        <w:tc>
          <w:tcPr>
            <w:tcW w:w="8349" w:type="dxa"/>
          </w:tcPr>
          <w:p w:rsidR="006939E5" w:rsidRPr="00AE35C1" w:rsidRDefault="006939E5" w:rsidP="00FD0968">
            <w:pPr>
              <w:spacing w:after="0" w:line="288" w:lineRule="auto"/>
              <w:rPr>
                <w:rFonts w:eastAsia="Times New Roman" w:cs="Arial"/>
                <w:i/>
                <w:noProof/>
                <w:color w:val="000000"/>
                <w:sz w:val="16"/>
                <w:szCs w:val="16"/>
                <w:lang w:eastAsia="pl-PL"/>
              </w:rPr>
            </w:pPr>
          </w:p>
          <w:p w:rsidR="00765292" w:rsidRPr="00AE35C1" w:rsidRDefault="006939E5" w:rsidP="00FD0968">
            <w:pPr>
              <w:spacing w:after="0" w:line="288" w:lineRule="auto"/>
              <w:rPr>
                <w:rFonts w:eastAsia="Times New Roman" w:cs="Arial"/>
                <w:i/>
                <w:noProof/>
                <w:color w:val="000000"/>
                <w:sz w:val="16"/>
                <w:szCs w:val="16"/>
                <w:lang w:eastAsia="pl-PL"/>
              </w:rPr>
            </w:pPr>
            <w:r w:rsidRPr="00AE35C1">
              <w:rPr>
                <w:rFonts w:eastAsia="Times New Roman" w:cs="Arial"/>
                <w:i/>
                <w:noProof/>
                <w:color w:val="000000"/>
                <w:sz w:val="16"/>
                <w:szCs w:val="16"/>
                <w:lang w:eastAsia="pl-PL"/>
              </w:rPr>
              <w:t>- cele operacyjne ukierunkowane terytorialnie</w:t>
            </w:r>
          </w:p>
        </w:tc>
      </w:tr>
      <w:tr w:rsidR="00765292" w:rsidRPr="00AE35C1" w:rsidTr="00FD0968">
        <w:tc>
          <w:tcPr>
            <w:tcW w:w="723" w:type="dxa"/>
          </w:tcPr>
          <w:p w:rsidR="00765292" w:rsidRPr="00AE35C1" w:rsidRDefault="00765292" w:rsidP="00FD0968">
            <w:pPr>
              <w:spacing w:after="0" w:line="288" w:lineRule="auto"/>
              <w:rPr>
                <w:rFonts w:eastAsia="Times New Roman" w:cs="Arial"/>
                <w:b/>
                <w:noProof/>
                <w:color w:val="000000"/>
                <w:sz w:val="16"/>
                <w:szCs w:val="16"/>
                <w:lang w:eastAsia="pl-PL"/>
              </w:rPr>
            </w:pPr>
            <w:r w:rsidRPr="00AE35C1">
              <w:rPr>
                <w:rFonts w:eastAsia="Times New Roman" w:cs="Arial"/>
                <w:b/>
                <w:noProof/>
                <w:color w:val="000000"/>
                <w:sz w:val="16"/>
                <w:szCs w:val="16"/>
                <w:lang w:eastAsia="pl-PL"/>
              </w:rPr>
              <w:t>1</w:t>
            </w:r>
          </w:p>
        </w:tc>
        <w:tc>
          <w:tcPr>
            <w:tcW w:w="8349" w:type="dxa"/>
          </w:tcPr>
          <w:p w:rsidR="00765292" w:rsidRPr="00AE35C1" w:rsidRDefault="00765292" w:rsidP="00FD0968">
            <w:pPr>
              <w:spacing w:after="0" w:line="288" w:lineRule="auto"/>
              <w:rPr>
                <w:rFonts w:eastAsia="Times New Roman" w:cs="Arial"/>
                <w:i/>
                <w:noProof/>
                <w:color w:val="000000"/>
                <w:sz w:val="16"/>
                <w:szCs w:val="16"/>
                <w:lang w:eastAsia="pl-PL"/>
              </w:rPr>
            </w:pPr>
            <w:r w:rsidRPr="00AE35C1">
              <w:rPr>
                <w:rFonts w:eastAsia="Times New Roman" w:cs="Arial"/>
                <w:i/>
                <w:noProof/>
                <w:color w:val="000000"/>
                <w:sz w:val="16"/>
                <w:szCs w:val="16"/>
                <w:lang w:eastAsia="pl-PL"/>
              </w:rPr>
              <w:t>- ranga celów operacyjnych</w:t>
            </w:r>
          </w:p>
        </w:tc>
      </w:tr>
    </w:tbl>
    <w:p w:rsidR="00AD74A9" w:rsidRPr="00AE35C1" w:rsidRDefault="00AD74A9" w:rsidP="00AD74A9">
      <w:pPr>
        <w:spacing w:after="0" w:line="288" w:lineRule="auto"/>
        <w:rPr>
          <w:rFonts w:eastAsia="Times New Roman" w:cs="Arial"/>
          <w:i/>
          <w:noProof/>
          <w:color w:val="000000"/>
          <w:sz w:val="16"/>
          <w:szCs w:val="16"/>
          <w:lang w:eastAsia="pl-PL"/>
        </w:rPr>
      </w:pPr>
    </w:p>
    <w:p w:rsidR="00AD74A9" w:rsidRPr="00AE35C1" w:rsidRDefault="00AD74A9" w:rsidP="00AD74A9">
      <w:pPr>
        <w:spacing w:after="0" w:line="288" w:lineRule="auto"/>
        <w:rPr>
          <w:rFonts w:eastAsia="Times New Roman" w:cs="Arial"/>
          <w:i/>
          <w:noProof/>
          <w:color w:val="000000"/>
          <w:sz w:val="16"/>
          <w:szCs w:val="16"/>
          <w:lang w:eastAsia="pl-PL"/>
        </w:rPr>
        <w:sectPr w:rsidR="00AD74A9" w:rsidRPr="00AE35C1" w:rsidSect="00E73C96">
          <w:pgSz w:w="11906" w:h="16838"/>
          <w:pgMar w:top="1418" w:right="1417" w:bottom="709" w:left="1417" w:header="708" w:footer="708" w:gutter="0"/>
          <w:cols w:space="708"/>
          <w:titlePg/>
          <w:docGrid w:linePitch="360"/>
        </w:sectPr>
      </w:pPr>
    </w:p>
    <w:p w:rsidR="00831ECF" w:rsidRPr="00AE35C1" w:rsidRDefault="008C41B7" w:rsidP="005728D9">
      <w:pPr>
        <w:pStyle w:val="Nagwek1"/>
        <w:numPr>
          <w:ilvl w:val="0"/>
          <w:numId w:val="46"/>
        </w:numPr>
      </w:pPr>
      <w:bookmarkStart w:id="62" w:name="_Toc511716327"/>
      <w:r w:rsidRPr="00AE35C1">
        <w:lastRenderedPageBreak/>
        <w:t xml:space="preserve">Ramy finansowe Strategii rozwoju województwa dolnośląskiego </w:t>
      </w:r>
      <w:r w:rsidR="00831ECF" w:rsidRPr="00AE35C1">
        <w:t>2030</w:t>
      </w:r>
      <w:bookmarkEnd w:id="62"/>
    </w:p>
    <w:p w:rsidR="00831ECF" w:rsidRPr="00AE35C1" w:rsidRDefault="00831ECF" w:rsidP="005F49A2">
      <w:pPr>
        <w:pStyle w:val="TEKST"/>
        <w:spacing w:after="60"/>
      </w:pPr>
      <w:r w:rsidRPr="00AE35C1">
        <w:t>Strategia Rozwoju Województwa Dolnośląskiego 2030 jest płaszczyzną wielostronnej współpracy samorządów terytorialnych wszystkich szczebli, administracji rządowej, podmiotów gospodarczych, instytucji oraz mieszkańców województwa. Z tego względu, identyfikując źródła finansowania przedsięwzięć rozwojowych wynikających z zapisów SRWD 2030, należy wskazać na ich wielość i</w:t>
      </w:r>
      <w:r w:rsidR="008C41B7" w:rsidRPr="00AE35C1">
        <w:t> </w:t>
      </w:r>
      <w:r w:rsidRPr="00AE35C1">
        <w:t>zróżnicowane pochodzenie. Oznacza to konieczność oparcia systemu jej finansowania na zasadzie montażu różnych źródeł środków finansowych. Ponadto, w zakresie ram finansowych SRWD 2030, należy wydzielić:</w:t>
      </w:r>
    </w:p>
    <w:p w:rsidR="00831ECF" w:rsidRPr="00AE35C1" w:rsidRDefault="00831ECF" w:rsidP="005F49A2">
      <w:pPr>
        <w:pStyle w:val="TEKST"/>
        <w:numPr>
          <w:ilvl w:val="0"/>
          <w:numId w:val="8"/>
        </w:numPr>
        <w:spacing w:after="60"/>
        <w:ind w:left="567" w:hanging="283"/>
      </w:pPr>
      <w:r w:rsidRPr="00AE35C1">
        <w:t xml:space="preserve">okres do 2020 roku, ze względu na realizację programów współfinansowanych ze środków Unii Europejskiej (w perspektywie finansowej 2014-2020 + 3 lata na rozliczanie projektów) </w:t>
      </w:r>
    </w:p>
    <w:p w:rsidR="00831ECF" w:rsidRPr="00AE35C1" w:rsidRDefault="00831ECF" w:rsidP="005F49A2">
      <w:pPr>
        <w:pStyle w:val="TEKST"/>
        <w:numPr>
          <w:ilvl w:val="0"/>
          <w:numId w:val="8"/>
        </w:numPr>
        <w:spacing w:after="60"/>
        <w:ind w:left="567" w:hanging="283"/>
      </w:pPr>
      <w:r w:rsidRPr="00AE35C1">
        <w:t>lata 2021-2030</w:t>
      </w:r>
      <w:r w:rsidR="00434041" w:rsidRPr="00AE35C1">
        <w:t>.</w:t>
      </w:r>
    </w:p>
    <w:p w:rsidR="00831ECF" w:rsidRPr="00AE35C1" w:rsidRDefault="00831ECF" w:rsidP="005F49A2">
      <w:pPr>
        <w:pStyle w:val="TEKST"/>
      </w:pPr>
      <w:r w:rsidRPr="00AE35C1">
        <w:t>Posiadać one będą zróżnicowaną charakterystykę, zwłaszcza jeśli chodzi o środki rozwojowe pochodzące z</w:t>
      </w:r>
      <w:r w:rsidR="008C41B7" w:rsidRPr="00AE35C1">
        <w:t> </w:t>
      </w:r>
      <w:r w:rsidRPr="00AE35C1">
        <w:t>budżetu Unii Europejskiej, w perspektywie do 2020 roku oraz w nowej perspektywie finansowej 2020+.</w:t>
      </w:r>
    </w:p>
    <w:p w:rsidR="00831ECF" w:rsidRPr="00AE35C1" w:rsidRDefault="00831ECF" w:rsidP="005F49A2">
      <w:pPr>
        <w:pStyle w:val="TEKST"/>
        <w:spacing w:after="60"/>
      </w:pPr>
      <w:r w:rsidRPr="00AE35C1">
        <w:t>W okresie do 2020 roku źródłami finansowania polityki rozwoju Dolnego Śląska będą</w:t>
      </w:r>
      <w:r w:rsidR="005F2FC7" w:rsidRPr="00AE35C1">
        <w:t xml:space="preserve"> </w:t>
      </w:r>
      <w:r w:rsidRPr="00AE35C1">
        <w:t>w szczególności:</w:t>
      </w:r>
    </w:p>
    <w:p w:rsidR="00831ECF" w:rsidRPr="00AE35C1" w:rsidRDefault="00831ECF" w:rsidP="005F49A2">
      <w:pPr>
        <w:pStyle w:val="TEKST"/>
        <w:numPr>
          <w:ilvl w:val="0"/>
          <w:numId w:val="7"/>
        </w:numPr>
        <w:spacing w:after="60"/>
        <w:ind w:left="567" w:hanging="283"/>
      </w:pPr>
      <w:r w:rsidRPr="00AE35C1">
        <w:t>Budżet Państwa, w tym środki pochodzące z Kontraktu Terytorialnego Województwa Dolnośląskiego;</w:t>
      </w:r>
    </w:p>
    <w:p w:rsidR="00831ECF" w:rsidRPr="00AE35C1" w:rsidRDefault="00831ECF" w:rsidP="005F49A2">
      <w:pPr>
        <w:pStyle w:val="TEKST"/>
        <w:numPr>
          <w:ilvl w:val="0"/>
          <w:numId w:val="7"/>
        </w:numPr>
        <w:spacing w:after="60"/>
        <w:ind w:left="567" w:hanging="283"/>
      </w:pPr>
      <w:r w:rsidRPr="00AE35C1">
        <w:t xml:space="preserve">Europejskie Fundusze Strukturalne i Inwestycyjne (EFSI), w tym środki dystrybuowane </w:t>
      </w:r>
      <w:r w:rsidR="005F2FC7" w:rsidRPr="00AE35C1">
        <w:t>w </w:t>
      </w:r>
      <w:r w:rsidRPr="00AE35C1">
        <w:t>ramach Regionalnego Programu Operacyjnego Województwa Dolnośląskiego 2014-2020, programów Europejskiej Współpracy Terytorialnej oraz PROW 2</w:t>
      </w:r>
      <w:r w:rsidR="00AA1F74" w:rsidRPr="00AE35C1">
        <w:t>014-2020, PO Ryby 2014-2020, PO </w:t>
      </w:r>
      <w:r w:rsidRPr="00AE35C1">
        <w:t>WER 2014-2020</w:t>
      </w:r>
      <w:r w:rsidR="00EA1998" w:rsidRPr="00AE35C1">
        <w:t>, POIŚ 2014-2020;</w:t>
      </w:r>
    </w:p>
    <w:p w:rsidR="00831ECF" w:rsidRPr="00AE35C1" w:rsidRDefault="00831ECF" w:rsidP="005F49A2">
      <w:pPr>
        <w:pStyle w:val="TEKST"/>
        <w:numPr>
          <w:ilvl w:val="0"/>
          <w:numId w:val="7"/>
        </w:numPr>
        <w:spacing w:after="60"/>
        <w:ind w:left="567" w:hanging="283"/>
      </w:pPr>
      <w:r w:rsidRPr="00AE35C1">
        <w:t>Europejski Fundusz na rzecz Inwestycji Strategicznych (EFIS);</w:t>
      </w:r>
    </w:p>
    <w:p w:rsidR="00831ECF" w:rsidRPr="00AE35C1" w:rsidRDefault="00831ECF" w:rsidP="005F49A2">
      <w:pPr>
        <w:pStyle w:val="TEKST"/>
        <w:numPr>
          <w:ilvl w:val="0"/>
          <w:numId w:val="7"/>
        </w:numPr>
        <w:spacing w:after="60"/>
        <w:ind w:left="567" w:hanging="283"/>
      </w:pPr>
      <w:r w:rsidRPr="00AE35C1">
        <w:t>środki pochodzące z międzynarodowych instytucji finansowych, np. Bank Światowy, Europejski Bank Odbudowy i Rozwoju, Azjatycki Bank Inwestycji Infrastrukturalnych;</w:t>
      </w:r>
    </w:p>
    <w:p w:rsidR="00831ECF" w:rsidRPr="00AE35C1" w:rsidRDefault="00831ECF" w:rsidP="005F49A2">
      <w:pPr>
        <w:pStyle w:val="TEKST"/>
        <w:numPr>
          <w:ilvl w:val="0"/>
          <w:numId w:val="7"/>
        </w:numPr>
        <w:spacing w:after="60"/>
        <w:ind w:left="567" w:hanging="283"/>
      </w:pPr>
      <w:r w:rsidRPr="00AE35C1">
        <w:t>budżet</w:t>
      </w:r>
      <w:r w:rsidR="005A7DA1" w:rsidRPr="00AE35C1">
        <w:t>y</w:t>
      </w:r>
      <w:r w:rsidRPr="00AE35C1">
        <w:t xml:space="preserve"> jednostek samorządu terytorialnego, w tym budżet Województwa Dolnośląskiego;</w:t>
      </w:r>
    </w:p>
    <w:p w:rsidR="00831ECF" w:rsidRPr="00AE35C1" w:rsidRDefault="00831ECF" w:rsidP="005F49A2">
      <w:pPr>
        <w:pStyle w:val="TEKST"/>
        <w:numPr>
          <w:ilvl w:val="0"/>
          <w:numId w:val="7"/>
        </w:numPr>
        <w:ind w:left="567" w:hanging="283"/>
      </w:pPr>
      <w:r w:rsidRPr="00AE35C1">
        <w:t>instrumenty finansowe (</w:t>
      </w:r>
      <w:r w:rsidRPr="00AE35C1">
        <w:rPr>
          <w:szCs w:val="24"/>
        </w:rPr>
        <w:t>zwrotne, m.in. pożyczki, poręczenia, gwaran</w:t>
      </w:r>
      <w:r w:rsidR="00AA1F74" w:rsidRPr="00AE35C1">
        <w:rPr>
          <w:szCs w:val="24"/>
        </w:rPr>
        <w:t>cje, inwestycje kapitałowe oraz </w:t>
      </w:r>
      <w:r w:rsidRPr="00AE35C1">
        <w:rPr>
          <w:szCs w:val="24"/>
        </w:rPr>
        <w:t>inwestycje quasi-kapitałowe)</w:t>
      </w:r>
      <w:r w:rsidRPr="00AE35C1">
        <w:t xml:space="preserve"> udostępniane przez regionalne instytucje finansowe, m.in. Dolnośląski Fundusz Rozwoju</w:t>
      </w:r>
      <w:r w:rsidR="005A7DA1" w:rsidRPr="00AE35C1">
        <w:t>.</w:t>
      </w:r>
    </w:p>
    <w:p w:rsidR="00831ECF" w:rsidRPr="00AE35C1" w:rsidRDefault="00831ECF" w:rsidP="005F49A2">
      <w:pPr>
        <w:pStyle w:val="TEKST"/>
      </w:pPr>
      <w:r w:rsidRPr="00AE35C1">
        <w:t xml:space="preserve">Planowanie nakładów finansowych na realizację polityki rozwoju regionu po 2020 roku (w nowej perspektywie finansowej 2020+) jest utrudnione ze względu na długi horyzont czasowy oraz trwające pertraktacje w sprawie przyszłego kształtu wieloletnich ram finansowych Unii Europejskiej oraz zasad funkcjonowania Polityki Spójności i Wspólnej Polityki Rolnej po 2020 roku. Stwarza to daleko idące trudności w oszacowaniu tych nakładów. Niemniej jednak pewnym jest, że po 2020 roku istotnej zmianie ulegnie struktura źródeł finansowania polityki rozwoju regionu. Ciężar finansowania interwencji publicznej w znacznej mierze zostanie przerzucony na źródła krajowe zarówno publiczne, jak i prywatne. </w:t>
      </w:r>
    </w:p>
    <w:p w:rsidR="00831ECF" w:rsidRPr="00AE35C1" w:rsidRDefault="00831ECF" w:rsidP="005F49A2">
      <w:pPr>
        <w:pStyle w:val="TEKST"/>
      </w:pPr>
      <w:r w:rsidRPr="00AE35C1">
        <w:lastRenderedPageBreak/>
        <w:t xml:space="preserve">Po 2020 roku udział funduszy unijnych w całkowitej puli środków rozwojowych, ze względu na wzrost zamożności polskich regionów będzie relatywnie mniejszy. Ważna jest zatem zmiana sposobu redystrybucji środków przekazywanych w ramach subwencji i dotacji do jednostek samorządu terytorialnego, </w:t>
      </w:r>
      <w:r w:rsidR="002D2799" w:rsidRPr="00AE35C1">
        <w:t xml:space="preserve">tak </w:t>
      </w:r>
      <w:r w:rsidRPr="00AE35C1">
        <w:t>aby zapewnić na odpowiednim poziomie finansowanie zadań własnych samorządów. Trzeba zacząć już dziś przygotowywać się do zmiany źródeł finansowania inwestycji po to, aby po 2020 roku, kiedy wygaszone zostaną środki unijne, uniknąć zastoju w inwestycjach. N</w:t>
      </w:r>
      <w:r w:rsidRPr="00AE35C1">
        <w:rPr>
          <w:rFonts w:hint="eastAsia"/>
        </w:rPr>
        <w:t>ależy</w:t>
      </w:r>
      <w:r w:rsidRPr="00AE35C1">
        <w:t xml:space="preserve"> </w:t>
      </w:r>
      <w:r w:rsidRPr="00AE35C1">
        <w:rPr>
          <w:rFonts w:hint="eastAsia"/>
        </w:rPr>
        <w:t>rozważyć</w:t>
      </w:r>
      <w:r w:rsidRPr="00AE35C1">
        <w:t xml:space="preserve"> szersze otwarcie na partnerstw</w:t>
      </w:r>
      <w:r w:rsidR="002D2799" w:rsidRPr="00AE35C1">
        <w:t>o</w:t>
      </w:r>
      <w:r w:rsidRPr="00AE35C1">
        <w:t xml:space="preserve"> publiczno-prywatne, ponieważ kapitał prywatny może się stać głównym źródłem wsparcia inwestycji infrastrukturalnych. Innym mechanizmem fin</w:t>
      </w:r>
      <w:r w:rsidR="00AA1F74" w:rsidRPr="00AE35C1">
        <w:t>ansowania działań rozwojowych w </w:t>
      </w:r>
      <w:r w:rsidRPr="00AE35C1">
        <w:t>regionie mogą być fundusze partycypacyjne, na które składałyby się lokalne jednostki samorządu terytorialnego oraz Samorząd Województwa Dolnośląskiego. Mechanizm ten służyłby realizacji zadań, które swym zasięgiem i</w:t>
      </w:r>
      <w:r w:rsidR="008C41B7" w:rsidRPr="00AE35C1">
        <w:t> </w:t>
      </w:r>
      <w:r w:rsidRPr="00AE35C1">
        <w:t>oddziaływaniem przekraczałyby granice administracyjne poszczególnych gmin. Istotnym mechanizmem finansowania działań po 2020 roku powinny nadal być instrumenty finansowe (zwrotne) udostępniane przez regionalne instytucje finansowe, posiada</w:t>
      </w:r>
      <w:r w:rsidR="00AA1F74" w:rsidRPr="00AE35C1">
        <w:t>jące w obrocie zarówno środki z </w:t>
      </w:r>
      <w:r w:rsidRPr="00AE35C1">
        <w:t xml:space="preserve">poprzedniej perspektywy finansowej 2007-2013 (tzw. środki </w:t>
      </w:r>
      <w:proofErr w:type="spellStart"/>
      <w:r w:rsidRPr="00AE35C1">
        <w:t>post-Jeremie</w:t>
      </w:r>
      <w:proofErr w:type="spellEnd"/>
      <w:r w:rsidRPr="00AE35C1">
        <w:t>), jak i środki zwrotne, które nadal będą w obrocie po perspektywie finansowej 2014-2020.</w:t>
      </w:r>
    </w:p>
    <w:p w:rsidR="00831ECF" w:rsidRPr="00AE35C1" w:rsidRDefault="00831ECF" w:rsidP="005F49A2">
      <w:pPr>
        <w:pStyle w:val="TEKST"/>
      </w:pPr>
      <w:r w:rsidRPr="00AE35C1">
        <w:t>Opierając się na Wieloletniej Prognozie Finansowej Województwa Dolnośląskiego można wskazać, że na realizację zadań rozwojowych do 2030 r., Samorząd Województwa Dolnośląskiego przeznaczy z</w:t>
      </w:r>
      <w:r w:rsidR="005F2FC7" w:rsidRPr="00AE35C1">
        <w:t> </w:t>
      </w:r>
      <w:r w:rsidRPr="00AE35C1">
        <w:t xml:space="preserve">własnych środków kwotę przeszło 10 mld zł. </w:t>
      </w:r>
      <w:r w:rsidRPr="00AE35C1">
        <w:rPr>
          <w:szCs w:val="24"/>
        </w:rPr>
        <w:t>Wysokość środków dostępnych z budżetu państwa i Unii Europejskiej na finansowanie działań strategicznych regionu w okresie</w:t>
      </w:r>
      <w:r w:rsidR="005F2FC7" w:rsidRPr="00AE35C1">
        <w:rPr>
          <w:szCs w:val="24"/>
        </w:rPr>
        <w:t xml:space="preserve"> 2021-2030 zostanie określona w </w:t>
      </w:r>
      <w:r w:rsidRPr="00AE35C1">
        <w:rPr>
          <w:szCs w:val="24"/>
        </w:rPr>
        <w:t xml:space="preserve">nowym Kontrakcie Terytorialnym dla Województwa Dolnośląskiego. </w:t>
      </w:r>
      <w:r w:rsidRPr="00AE35C1">
        <w:t>Ponadto, szereg działań ro</w:t>
      </w:r>
      <w:r w:rsidR="00C31B36">
        <w:t xml:space="preserve">zwojowych realizowanych </w:t>
      </w:r>
      <w:r w:rsidR="005F2FC7" w:rsidRPr="00AE35C1">
        <w:t>i </w:t>
      </w:r>
      <w:r w:rsidRPr="00AE35C1">
        <w:t>finansowanych będzie przez lokalne jednostki samorządu terytorialnego oraz podmioty publiczne i</w:t>
      </w:r>
      <w:r w:rsidR="008C41B7" w:rsidRPr="00AE35C1">
        <w:t> </w:t>
      </w:r>
      <w:r w:rsidRPr="00AE35C1">
        <w:t>prywatne. Zadaniem Samorządu Województwa Dolnośląskiego będzie zachęcanie ich do inwestowania oraz stwarzania warunków dla ukierunkowania tych wydatków zgodnie z celami SRWD 2030. Wysokość środków na realizację wymienionych celów zostanie precyzyjnie określona w planie wykonawczym Strategii, zawierającym docelowy katalog programów rozwoju i polityk realizujących zapisy SRWD 2030.</w:t>
      </w:r>
    </w:p>
    <w:p w:rsidR="008C41B7" w:rsidRPr="00AE35C1" w:rsidRDefault="008C41B7" w:rsidP="005F49A2">
      <w:pPr>
        <w:pStyle w:val="TEKST"/>
        <w:sectPr w:rsidR="008C41B7" w:rsidRPr="00AE35C1" w:rsidSect="00E73C96">
          <w:pgSz w:w="11906" w:h="16838"/>
          <w:pgMar w:top="1417" w:right="1417" w:bottom="1417" w:left="1417" w:header="708" w:footer="708" w:gutter="0"/>
          <w:cols w:space="708"/>
          <w:titlePg/>
          <w:docGrid w:linePitch="360"/>
        </w:sectPr>
      </w:pPr>
    </w:p>
    <w:p w:rsidR="00831ECF" w:rsidRPr="00AE35C1" w:rsidRDefault="00641928" w:rsidP="00D41A4A">
      <w:pPr>
        <w:pStyle w:val="Nagwek1"/>
      </w:pPr>
      <w:r w:rsidRPr="00AE35C1">
        <w:lastRenderedPageBreak/>
        <w:t xml:space="preserve"> </w:t>
      </w:r>
      <w:bookmarkStart w:id="63" w:name="_Toc511716328"/>
      <w:r w:rsidRPr="00AE35C1">
        <w:t xml:space="preserve">6. </w:t>
      </w:r>
      <w:r w:rsidR="00831ECF" w:rsidRPr="00AE35C1">
        <w:t>System wdrażania SRWD 2030</w:t>
      </w:r>
      <w:bookmarkEnd w:id="63"/>
    </w:p>
    <w:p w:rsidR="00831ECF" w:rsidRPr="006E6D95" w:rsidRDefault="00831ECF" w:rsidP="005F49A2">
      <w:pPr>
        <w:pStyle w:val="TEKST"/>
        <w:rPr>
          <w:color w:val="000000" w:themeColor="text1"/>
        </w:rPr>
      </w:pPr>
      <w:r w:rsidRPr="006E6D95">
        <w:rPr>
          <w:color w:val="000000" w:themeColor="text1"/>
        </w:rPr>
        <w:t>Podstawowym celem systemu wdrażania SRWD 2030 jest zapewnienie efektywnej realizacji jej celów strategicznych, operacyjnych oraz kierunków działań, w oparciu o przejrzysty proces programowania strategicznego i wydatkowania środków publicznych w województwie.</w:t>
      </w:r>
    </w:p>
    <w:p w:rsidR="004C5D0A" w:rsidRPr="006E6D95" w:rsidRDefault="00641928" w:rsidP="00AA1F74">
      <w:pPr>
        <w:pStyle w:val="Nagwek2"/>
        <w:rPr>
          <w:color w:val="000000" w:themeColor="text1"/>
        </w:rPr>
      </w:pPr>
      <w:r w:rsidRPr="006E6D95">
        <w:rPr>
          <w:color w:val="000000" w:themeColor="text1"/>
        </w:rPr>
        <w:t xml:space="preserve"> </w:t>
      </w:r>
      <w:bookmarkStart w:id="64" w:name="_Toc511716329"/>
      <w:r w:rsidRPr="006E6D95">
        <w:rPr>
          <w:color w:val="000000" w:themeColor="text1"/>
        </w:rPr>
        <w:t xml:space="preserve">6.1 </w:t>
      </w:r>
      <w:r w:rsidR="004C5D0A" w:rsidRPr="006E6D95">
        <w:rPr>
          <w:color w:val="000000" w:themeColor="text1"/>
        </w:rPr>
        <w:t>ZASADY WDRAŻANIA</w:t>
      </w:r>
      <w:bookmarkEnd w:id="64"/>
    </w:p>
    <w:p w:rsidR="004C5D0A" w:rsidRPr="006E6D95" w:rsidRDefault="0000358F" w:rsidP="005F49A2">
      <w:pPr>
        <w:pStyle w:val="TEKST"/>
        <w:rPr>
          <w:color w:val="000000" w:themeColor="text1"/>
        </w:rPr>
      </w:pPr>
      <w:r w:rsidRPr="006E6D95">
        <w:rPr>
          <w:color w:val="000000" w:themeColor="text1"/>
        </w:rPr>
        <w:t>W</w:t>
      </w:r>
      <w:r w:rsidR="00DF6D29" w:rsidRPr="006E6D95">
        <w:rPr>
          <w:color w:val="000000" w:themeColor="text1"/>
        </w:rPr>
        <w:t xml:space="preserve"> procesie wdrażania Strategii</w:t>
      </w:r>
      <w:r w:rsidRPr="006E6D95">
        <w:rPr>
          <w:color w:val="000000" w:themeColor="text1"/>
        </w:rPr>
        <w:t xml:space="preserve"> stosowane będą sformułowane poniżej zasady:</w:t>
      </w:r>
    </w:p>
    <w:p w:rsidR="00823D6F" w:rsidRPr="006E6D95" w:rsidRDefault="00823D6F" w:rsidP="00F77394">
      <w:pPr>
        <w:pStyle w:val="Bezodstpw"/>
        <w:spacing w:after="240" w:line="276" w:lineRule="auto"/>
        <w:jc w:val="both"/>
        <w:rPr>
          <w:color w:val="000000" w:themeColor="text1"/>
          <w:sz w:val="21"/>
          <w:szCs w:val="21"/>
        </w:rPr>
      </w:pPr>
      <w:r w:rsidRPr="006E6D95">
        <w:rPr>
          <w:rStyle w:val="Pogrubienie"/>
          <w:bCs w:val="0"/>
          <w:color w:val="000000" w:themeColor="text1"/>
          <w:sz w:val="21"/>
          <w:szCs w:val="21"/>
        </w:rPr>
        <w:t>Zasada zrównoważonego rozwoju</w:t>
      </w:r>
      <w:r w:rsidRPr="006E6D95">
        <w:rPr>
          <w:color w:val="000000" w:themeColor="text1"/>
          <w:sz w:val="21"/>
          <w:szCs w:val="21"/>
        </w:rPr>
        <w:t xml:space="preserve"> </w:t>
      </w:r>
      <w:r w:rsidRPr="006E6D95">
        <w:rPr>
          <w:rFonts w:hint="eastAsia"/>
          <w:color w:val="000000" w:themeColor="text1"/>
          <w:sz w:val="21"/>
          <w:szCs w:val="21"/>
        </w:rPr>
        <w:t>–</w:t>
      </w:r>
      <w:r w:rsidRPr="006E6D95">
        <w:rPr>
          <w:color w:val="000000" w:themeColor="text1"/>
          <w:sz w:val="21"/>
          <w:szCs w:val="21"/>
        </w:rPr>
        <w:t xml:space="preserve"> polega na prowadzeniu działań sprzyjających integracji czynników gospodarczych, społecznych, politycznych, przy jednoczesnym zach</w:t>
      </w:r>
      <w:r w:rsidR="005F2FC7" w:rsidRPr="006E6D95">
        <w:rPr>
          <w:color w:val="000000" w:themeColor="text1"/>
          <w:sz w:val="21"/>
          <w:szCs w:val="21"/>
        </w:rPr>
        <w:t>owaniu równowagi ekologicznej w </w:t>
      </w:r>
      <w:r w:rsidRPr="006E6D95">
        <w:rPr>
          <w:color w:val="000000" w:themeColor="text1"/>
          <w:sz w:val="21"/>
          <w:szCs w:val="21"/>
        </w:rPr>
        <w:t xml:space="preserve">celu możliwości zaspokojenia najważniejszych potrzeb obywateli zarówno </w:t>
      </w:r>
      <w:r w:rsidR="004B0E5A" w:rsidRPr="006E6D95">
        <w:rPr>
          <w:color w:val="000000" w:themeColor="text1"/>
          <w:sz w:val="21"/>
          <w:szCs w:val="21"/>
        </w:rPr>
        <w:t>obecnie żyjącego pokolenia, jak </w:t>
      </w:r>
      <w:r w:rsidRPr="006E6D95">
        <w:rPr>
          <w:color w:val="000000" w:themeColor="text1"/>
          <w:sz w:val="21"/>
          <w:szCs w:val="21"/>
        </w:rPr>
        <w:t>również przyszłych pokoleń.</w:t>
      </w:r>
    </w:p>
    <w:p w:rsidR="00823D6F" w:rsidRPr="006E6D95" w:rsidRDefault="00823D6F" w:rsidP="00F77394">
      <w:pPr>
        <w:pStyle w:val="Bezodstpw"/>
        <w:spacing w:after="240" w:line="276" w:lineRule="auto"/>
        <w:jc w:val="both"/>
        <w:rPr>
          <w:color w:val="000000" w:themeColor="text1"/>
          <w:sz w:val="21"/>
          <w:szCs w:val="21"/>
        </w:rPr>
      </w:pPr>
      <w:r w:rsidRPr="006E6D95">
        <w:rPr>
          <w:b/>
          <w:color w:val="000000" w:themeColor="text1"/>
          <w:sz w:val="21"/>
          <w:szCs w:val="21"/>
        </w:rPr>
        <w:t>Zasada gospodarki obiegu zamkniętego</w:t>
      </w:r>
      <w:r w:rsidRPr="006E6D95">
        <w:rPr>
          <w:color w:val="000000" w:themeColor="text1"/>
          <w:sz w:val="21"/>
          <w:szCs w:val="21"/>
        </w:rPr>
        <w:t xml:space="preserve"> – oznacza racjonalne wykorzystanie zasobów (produktów, materiałów oraz surowców), które powinny pozostawać w gospodarce ta</w:t>
      </w:r>
      <w:r w:rsidR="004B0E5A" w:rsidRPr="006E6D95">
        <w:rPr>
          <w:color w:val="000000" w:themeColor="text1"/>
          <w:sz w:val="21"/>
          <w:szCs w:val="21"/>
        </w:rPr>
        <w:t>k długo, jak jest to możliwe, a </w:t>
      </w:r>
      <w:r w:rsidRPr="006E6D95">
        <w:rPr>
          <w:color w:val="000000" w:themeColor="text1"/>
          <w:sz w:val="21"/>
          <w:szCs w:val="21"/>
        </w:rPr>
        <w:t>wytwarzanie odpadów powinno być jak najbardziej zminimalizowane. Idea ta uwzględnia wszystkie etapy cyklu życia produktu, zaczynając od jego projektowania, poprzez produkcję, konsumpcję, zbieranie odpadów, aż do ich zagospodarowania, stanowi o</w:t>
      </w:r>
      <w:r w:rsidR="00AA1F74" w:rsidRPr="006E6D95">
        <w:rPr>
          <w:color w:val="000000" w:themeColor="text1"/>
          <w:sz w:val="21"/>
          <w:szCs w:val="21"/>
        </w:rPr>
        <w:t>dpowiedź na wyzwania związane z </w:t>
      </w:r>
      <w:r w:rsidRPr="006E6D95">
        <w:rPr>
          <w:color w:val="000000" w:themeColor="text1"/>
          <w:sz w:val="21"/>
          <w:szCs w:val="21"/>
        </w:rPr>
        <w:t>ograniczonym dostępem do surowców naturalnych.</w:t>
      </w:r>
    </w:p>
    <w:p w:rsidR="00823D6F" w:rsidRPr="006E6D95" w:rsidRDefault="00316CB5" w:rsidP="00F77394">
      <w:pPr>
        <w:pStyle w:val="Bezodstpw"/>
        <w:spacing w:line="276" w:lineRule="auto"/>
        <w:jc w:val="both"/>
        <w:rPr>
          <w:b/>
          <w:color w:val="000000" w:themeColor="text1"/>
          <w:sz w:val="21"/>
          <w:szCs w:val="21"/>
        </w:rPr>
      </w:pPr>
      <w:r w:rsidRPr="006E6D95">
        <w:rPr>
          <w:b/>
          <w:color w:val="000000" w:themeColor="text1"/>
          <w:sz w:val="21"/>
          <w:szCs w:val="21"/>
        </w:rPr>
        <w:t>Zasada wykorzystania najlepszych dostępnych technologii w szczególności technologii cyfrowych</w:t>
      </w:r>
      <w:r w:rsidR="00823D6F" w:rsidRPr="006E6D95">
        <w:rPr>
          <w:b/>
          <w:color w:val="000000" w:themeColor="text1"/>
          <w:sz w:val="21"/>
          <w:szCs w:val="21"/>
        </w:rPr>
        <w:t xml:space="preserve"> – </w:t>
      </w:r>
    </w:p>
    <w:p w:rsidR="00823D6F" w:rsidRPr="006E6D95" w:rsidRDefault="00823D6F" w:rsidP="00F77394">
      <w:pPr>
        <w:pStyle w:val="Bezodstpw"/>
        <w:spacing w:after="240" w:line="276" w:lineRule="auto"/>
        <w:jc w:val="both"/>
        <w:rPr>
          <w:color w:val="000000" w:themeColor="text1"/>
          <w:sz w:val="21"/>
          <w:szCs w:val="21"/>
        </w:rPr>
      </w:pPr>
      <w:r w:rsidRPr="006E6D95">
        <w:rPr>
          <w:color w:val="000000" w:themeColor="text1"/>
          <w:sz w:val="21"/>
          <w:szCs w:val="21"/>
        </w:rPr>
        <w:t>oznacza podejmowanie działań służących uzyskiwaniu różnorodnych korzyści</w:t>
      </w:r>
      <w:r w:rsidR="004B0E5A" w:rsidRPr="006E6D95">
        <w:rPr>
          <w:color w:val="000000" w:themeColor="text1"/>
          <w:sz w:val="21"/>
          <w:szCs w:val="21"/>
        </w:rPr>
        <w:t xml:space="preserve"> wynikających z</w:t>
      </w:r>
      <w:r w:rsidR="005F2FC7" w:rsidRPr="006E6D95">
        <w:rPr>
          <w:color w:val="000000" w:themeColor="text1"/>
          <w:sz w:val="21"/>
          <w:szCs w:val="21"/>
        </w:rPr>
        <w:t> </w:t>
      </w:r>
      <w:r w:rsidR="004B0E5A" w:rsidRPr="006E6D95">
        <w:rPr>
          <w:color w:val="000000" w:themeColor="text1"/>
          <w:sz w:val="21"/>
          <w:szCs w:val="21"/>
        </w:rPr>
        <w:t>dostępu do </w:t>
      </w:r>
      <w:r w:rsidRPr="006E6D95">
        <w:rPr>
          <w:color w:val="000000" w:themeColor="text1"/>
          <w:sz w:val="21"/>
          <w:szCs w:val="21"/>
        </w:rPr>
        <w:t>technologii, w różnych obszarach życia i z uwzględnieniem indywidualnych różnic i</w:t>
      </w:r>
      <w:r w:rsidR="005F2FC7" w:rsidRPr="006E6D95">
        <w:rPr>
          <w:color w:val="000000" w:themeColor="text1"/>
          <w:sz w:val="21"/>
          <w:szCs w:val="21"/>
        </w:rPr>
        <w:t> </w:t>
      </w:r>
      <w:r w:rsidRPr="006E6D95">
        <w:rPr>
          <w:color w:val="000000" w:themeColor="text1"/>
          <w:sz w:val="21"/>
          <w:szCs w:val="21"/>
        </w:rPr>
        <w:t>sposobów funkcjonowania przez różne grupy użytkowników - od dzieci i młodzi</w:t>
      </w:r>
      <w:r w:rsidR="004B0E5A" w:rsidRPr="006E6D95">
        <w:rPr>
          <w:color w:val="000000" w:themeColor="text1"/>
          <w:sz w:val="21"/>
          <w:szCs w:val="21"/>
        </w:rPr>
        <w:t>eży, poprzez osoby dorosłe (a w </w:t>
      </w:r>
      <w:r w:rsidRPr="006E6D95">
        <w:rPr>
          <w:color w:val="000000" w:themeColor="text1"/>
          <w:sz w:val="21"/>
          <w:szCs w:val="21"/>
        </w:rPr>
        <w:t xml:space="preserve">szczególności aktywne zawodowo), po seniorów. </w:t>
      </w:r>
    </w:p>
    <w:p w:rsidR="00823D6F" w:rsidRPr="006E6D95" w:rsidRDefault="00823D6F" w:rsidP="00F77394">
      <w:pPr>
        <w:pStyle w:val="Bezodstpw"/>
        <w:spacing w:after="240" w:line="276" w:lineRule="auto"/>
        <w:jc w:val="both"/>
        <w:rPr>
          <w:color w:val="000000" w:themeColor="text1"/>
          <w:sz w:val="21"/>
          <w:szCs w:val="21"/>
        </w:rPr>
      </w:pPr>
      <w:r w:rsidRPr="006E6D95">
        <w:rPr>
          <w:b/>
          <w:color w:val="000000" w:themeColor="text1"/>
          <w:sz w:val="21"/>
          <w:szCs w:val="21"/>
        </w:rPr>
        <w:t xml:space="preserve">Zasada </w:t>
      </w:r>
      <w:r w:rsidR="00765292" w:rsidRPr="006E6D95">
        <w:rPr>
          <w:b/>
          <w:color w:val="000000" w:themeColor="text1"/>
          <w:sz w:val="21"/>
          <w:szCs w:val="21"/>
        </w:rPr>
        <w:t>równości szans i niedyskryminacji</w:t>
      </w:r>
      <w:r w:rsidR="00765292" w:rsidRPr="006E6D95">
        <w:rPr>
          <w:color w:val="000000" w:themeColor="text1"/>
          <w:sz w:val="21"/>
          <w:szCs w:val="21"/>
        </w:rPr>
        <w:t xml:space="preserve"> – umożliwienie wszystkim osobom – bez</w:t>
      </w:r>
      <w:r w:rsidR="00AA1F74" w:rsidRPr="006E6D95">
        <w:rPr>
          <w:color w:val="000000" w:themeColor="text1"/>
          <w:sz w:val="21"/>
          <w:szCs w:val="21"/>
        </w:rPr>
        <w:t xml:space="preserve"> </w:t>
      </w:r>
      <w:r w:rsidR="00765292" w:rsidRPr="006E6D95">
        <w:rPr>
          <w:color w:val="000000" w:themeColor="text1"/>
          <w:sz w:val="21"/>
          <w:szCs w:val="21"/>
        </w:rPr>
        <w:t>względu na</w:t>
      </w:r>
      <w:r w:rsidR="00AA1F74" w:rsidRPr="006E6D95">
        <w:rPr>
          <w:color w:val="000000" w:themeColor="text1"/>
          <w:sz w:val="21"/>
          <w:szCs w:val="21"/>
        </w:rPr>
        <w:t> </w:t>
      </w:r>
      <w:r w:rsidR="00765292" w:rsidRPr="006E6D95">
        <w:rPr>
          <w:color w:val="000000" w:themeColor="text1"/>
          <w:sz w:val="21"/>
          <w:szCs w:val="21"/>
        </w:rPr>
        <w:t>płeć, wiek, niepełnosprawność, rasę</w:t>
      </w:r>
      <w:r w:rsidRPr="006E6D95">
        <w:rPr>
          <w:color w:val="000000" w:themeColor="text1"/>
          <w:sz w:val="21"/>
          <w:szCs w:val="21"/>
        </w:rPr>
        <w:t xml:space="preserve"> </w:t>
      </w:r>
      <w:r w:rsidR="00765292" w:rsidRPr="006E6D95">
        <w:rPr>
          <w:color w:val="000000" w:themeColor="text1"/>
          <w:sz w:val="21"/>
          <w:szCs w:val="21"/>
        </w:rPr>
        <w:t>lub pochodzenie etniczne</w:t>
      </w:r>
      <w:r w:rsidRPr="006E6D95">
        <w:rPr>
          <w:color w:val="000000" w:themeColor="text1"/>
          <w:sz w:val="21"/>
          <w:szCs w:val="21"/>
        </w:rPr>
        <w:t xml:space="preserve">, wyznawaną religię lub światopogląd, orientację seksualną – sprawiedliwego, pełnego uczestnictwa we </w:t>
      </w:r>
      <w:r w:rsidR="004B0E5A" w:rsidRPr="006E6D95">
        <w:rPr>
          <w:color w:val="000000" w:themeColor="text1"/>
          <w:sz w:val="21"/>
          <w:szCs w:val="21"/>
        </w:rPr>
        <w:t>wszystkich dziedzinach życia na </w:t>
      </w:r>
      <w:r w:rsidRPr="006E6D95">
        <w:rPr>
          <w:color w:val="000000" w:themeColor="text1"/>
          <w:sz w:val="21"/>
          <w:szCs w:val="21"/>
        </w:rPr>
        <w:t xml:space="preserve">jednakowych zasadach.  </w:t>
      </w:r>
    </w:p>
    <w:p w:rsidR="00823D6F" w:rsidRPr="006E6D95" w:rsidRDefault="00823D6F" w:rsidP="00F77394">
      <w:pPr>
        <w:spacing w:line="276" w:lineRule="auto"/>
        <w:jc w:val="both"/>
        <w:rPr>
          <w:color w:val="000000" w:themeColor="text1"/>
          <w:sz w:val="21"/>
          <w:szCs w:val="21"/>
        </w:rPr>
      </w:pPr>
      <w:r w:rsidRPr="006E6D95">
        <w:rPr>
          <w:b/>
          <w:color w:val="000000" w:themeColor="text1"/>
          <w:sz w:val="21"/>
          <w:szCs w:val="21"/>
        </w:rPr>
        <w:t xml:space="preserve">Zasada selektywności podejścia (koncentracja, poszukiwanie nisz, sektory) - </w:t>
      </w:r>
      <w:r w:rsidRPr="006E6D95">
        <w:rPr>
          <w:color w:val="000000" w:themeColor="text1"/>
          <w:sz w:val="21"/>
          <w:szCs w:val="21"/>
        </w:rPr>
        <w:t>oznacza koncentrację na tych produktach, technologiach, sektorach, które mają istotne znaczenie d</w:t>
      </w:r>
      <w:r w:rsidR="004B0E5A" w:rsidRPr="006E6D95">
        <w:rPr>
          <w:color w:val="000000" w:themeColor="text1"/>
          <w:sz w:val="21"/>
          <w:szCs w:val="21"/>
        </w:rPr>
        <w:t>la realizacji celów Strategii w </w:t>
      </w:r>
      <w:r w:rsidRPr="006E6D95">
        <w:rPr>
          <w:color w:val="000000" w:themeColor="text1"/>
          <w:sz w:val="21"/>
          <w:szCs w:val="21"/>
        </w:rPr>
        <w:t>dłuższej perspektywie czasowej, a więc mających mierzalny wpływ na zwiększanie produktyw</w:t>
      </w:r>
      <w:r w:rsidR="004B0E5A" w:rsidRPr="006E6D95">
        <w:rPr>
          <w:color w:val="000000" w:themeColor="text1"/>
          <w:sz w:val="21"/>
          <w:szCs w:val="21"/>
        </w:rPr>
        <w:t>ności i </w:t>
      </w:r>
      <w:r w:rsidRPr="006E6D95">
        <w:rPr>
          <w:color w:val="000000" w:themeColor="text1"/>
          <w:sz w:val="21"/>
          <w:szCs w:val="21"/>
        </w:rPr>
        <w:t>powiększanie dochodów ludności oraz poprawę jakości życia. W krótkiej perspektywie wspierane będą sektory decydujące o naszej aktualnej konkurencyjności, czy maj</w:t>
      </w:r>
      <w:r w:rsidR="004B0E5A" w:rsidRPr="006E6D95">
        <w:rPr>
          <w:color w:val="000000" w:themeColor="text1"/>
          <w:sz w:val="21"/>
          <w:szCs w:val="21"/>
        </w:rPr>
        <w:t>ące znaczący udział zarówno pod </w:t>
      </w:r>
      <w:r w:rsidRPr="006E6D95">
        <w:rPr>
          <w:color w:val="000000" w:themeColor="text1"/>
          <w:sz w:val="21"/>
          <w:szCs w:val="21"/>
        </w:rPr>
        <w:t>względem produkcji, jak i wpływu i powiązań z innymi sektorami. Jedn</w:t>
      </w:r>
      <w:r w:rsidR="004B0E5A" w:rsidRPr="006E6D95">
        <w:rPr>
          <w:color w:val="000000" w:themeColor="text1"/>
          <w:sz w:val="21"/>
          <w:szCs w:val="21"/>
        </w:rPr>
        <w:t>ak kluczowe jest postawienie na </w:t>
      </w:r>
      <w:r w:rsidRPr="006E6D95">
        <w:rPr>
          <w:color w:val="000000" w:themeColor="text1"/>
          <w:sz w:val="21"/>
          <w:szCs w:val="21"/>
        </w:rPr>
        <w:t>technologie i</w:t>
      </w:r>
      <w:r w:rsidR="00F77394" w:rsidRPr="006E6D95">
        <w:rPr>
          <w:color w:val="000000" w:themeColor="text1"/>
          <w:sz w:val="21"/>
          <w:szCs w:val="21"/>
        </w:rPr>
        <w:t> </w:t>
      </w:r>
      <w:r w:rsidRPr="006E6D95">
        <w:rPr>
          <w:color w:val="000000" w:themeColor="text1"/>
          <w:sz w:val="21"/>
          <w:szCs w:val="21"/>
        </w:rPr>
        <w:t>sektory stanowiące o przewadze konkurencyjnej regionu w przyszłości.</w:t>
      </w:r>
    </w:p>
    <w:p w:rsidR="00823D6F" w:rsidRPr="006E6D95" w:rsidRDefault="00823D6F" w:rsidP="00F77394">
      <w:pPr>
        <w:spacing w:line="276" w:lineRule="auto"/>
        <w:jc w:val="both"/>
        <w:rPr>
          <w:color w:val="000000" w:themeColor="text1"/>
          <w:sz w:val="21"/>
          <w:szCs w:val="21"/>
        </w:rPr>
      </w:pPr>
      <w:r w:rsidRPr="006E6D95">
        <w:rPr>
          <w:b/>
          <w:color w:val="000000" w:themeColor="text1"/>
          <w:sz w:val="21"/>
          <w:szCs w:val="21"/>
        </w:rPr>
        <w:t xml:space="preserve">Zasada podejścia zintegrowanego i zróżnicowanego terytorialnie - </w:t>
      </w:r>
      <w:r w:rsidRPr="006E6D95">
        <w:rPr>
          <w:color w:val="000000" w:themeColor="text1"/>
          <w:sz w:val="21"/>
          <w:szCs w:val="21"/>
        </w:rPr>
        <w:t>oznacza koncentrację różnych działań podejmowanych przez poszczególne podmioty – rząd, s</w:t>
      </w:r>
      <w:r w:rsidR="00AA1F74" w:rsidRPr="006E6D95">
        <w:rPr>
          <w:color w:val="000000" w:themeColor="text1"/>
          <w:sz w:val="21"/>
          <w:szCs w:val="21"/>
        </w:rPr>
        <w:t>amorząd, podmioty gospodarcze i </w:t>
      </w:r>
      <w:r w:rsidRPr="006E6D95">
        <w:rPr>
          <w:color w:val="000000" w:themeColor="text1"/>
          <w:sz w:val="21"/>
          <w:szCs w:val="21"/>
        </w:rPr>
        <w:t>partnerów społecznych - wokół wyznaczonych celów strategicznych i operacyjnych. Niezbędnym elementem podejścia terytorialnego jest współpraca, dialog i partnerstwo z władzami lokalnymi, podmiotami gospodarczymi i</w:t>
      </w:r>
      <w:r w:rsidR="00F77394" w:rsidRPr="006E6D95">
        <w:rPr>
          <w:color w:val="000000" w:themeColor="text1"/>
          <w:sz w:val="21"/>
          <w:szCs w:val="21"/>
        </w:rPr>
        <w:t> </w:t>
      </w:r>
      <w:r w:rsidRPr="006E6D95">
        <w:rPr>
          <w:color w:val="000000" w:themeColor="text1"/>
          <w:sz w:val="21"/>
          <w:szCs w:val="21"/>
        </w:rPr>
        <w:t>społecznymi oraz obywatelami.</w:t>
      </w:r>
    </w:p>
    <w:p w:rsidR="00823D6F" w:rsidRPr="006E6D95" w:rsidRDefault="00823D6F" w:rsidP="00823D6F">
      <w:pPr>
        <w:jc w:val="both"/>
        <w:rPr>
          <w:color w:val="000000" w:themeColor="text1"/>
          <w:sz w:val="21"/>
          <w:szCs w:val="21"/>
        </w:rPr>
      </w:pPr>
      <w:r w:rsidRPr="006E6D95">
        <w:rPr>
          <w:b/>
          <w:color w:val="000000" w:themeColor="text1"/>
          <w:sz w:val="21"/>
          <w:szCs w:val="21"/>
        </w:rPr>
        <w:lastRenderedPageBreak/>
        <w:t>Zasada współpracy i partnerstwa</w:t>
      </w:r>
      <w:r w:rsidRPr="006E6D95">
        <w:rPr>
          <w:color w:val="000000" w:themeColor="text1"/>
          <w:sz w:val="21"/>
          <w:szCs w:val="21"/>
        </w:rPr>
        <w:t xml:space="preserve"> - oznacza zaangażowanie i szeroko zakrojone współdziałanie pomiędzy podmiotami publicznymi, prywatnymi, organizacjami pozarządowymi, sektorem nauki i</w:t>
      </w:r>
      <w:r w:rsidR="00765292" w:rsidRPr="006E6D95">
        <w:rPr>
          <w:color w:val="000000" w:themeColor="text1"/>
          <w:sz w:val="21"/>
          <w:szCs w:val="21"/>
        </w:rPr>
        <w:t> </w:t>
      </w:r>
      <w:r w:rsidRPr="006E6D95">
        <w:rPr>
          <w:color w:val="000000" w:themeColor="text1"/>
          <w:sz w:val="21"/>
          <w:szCs w:val="21"/>
        </w:rPr>
        <w:t xml:space="preserve">społeczeństwem obywatelskim na różnych etapach planowania i realizacji działań rozwojowych. </w:t>
      </w:r>
    </w:p>
    <w:p w:rsidR="00823D6F" w:rsidRPr="006E6D95" w:rsidRDefault="00823D6F" w:rsidP="00AA1F74">
      <w:pPr>
        <w:jc w:val="both"/>
        <w:rPr>
          <w:b/>
          <w:color w:val="000000" w:themeColor="text1"/>
          <w:sz w:val="21"/>
          <w:szCs w:val="21"/>
        </w:rPr>
      </w:pPr>
      <w:r w:rsidRPr="006E6D95">
        <w:rPr>
          <w:b/>
          <w:color w:val="000000" w:themeColor="text1"/>
          <w:sz w:val="21"/>
          <w:szCs w:val="21"/>
        </w:rPr>
        <w:t>Zasada</w:t>
      </w:r>
      <w:r w:rsidRPr="006E6D95">
        <w:rPr>
          <w:color w:val="000000" w:themeColor="text1"/>
          <w:sz w:val="21"/>
          <w:szCs w:val="21"/>
        </w:rPr>
        <w:t xml:space="preserve"> </w:t>
      </w:r>
      <w:r w:rsidRPr="006E6D95">
        <w:rPr>
          <w:b/>
          <w:color w:val="000000" w:themeColor="text1"/>
          <w:sz w:val="21"/>
          <w:szCs w:val="21"/>
        </w:rPr>
        <w:t xml:space="preserve">rozwoju świadomego demograficznie - </w:t>
      </w:r>
      <w:r w:rsidRPr="006E6D95">
        <w:rPr>
          <w:color w:val="000000" w:themeColor="text1"/>
          <w:sz w:val="21"/>
          <w:szCs w:val="21"/>
        </w:rPr>
        <w:t>oznacza ukierunkowanie interwencji w</w:t>
      </w:r>
      <w:r w:rsidR="005F2FC7" w:rsidRPr="006E6D95">
        <w:rPr>
          <w:color w:val="000000" w:themeColor="text1"/>
          <w:sz w:val="21"/>
          <w:szCs w:val="21"/>
        </w:rPr>
        <w:t> </w:t>
      </w:r>
      <w:r w:rsidRPr="006E6D95">
        <w:rPr>
          <w:color w:val="000000" w:themeColor="text1"/>
          <w:sz w:val="21"/>
          <w:szCs w:val="21"/>
        </w:rPr>
        <w:t xml:space="preserve">ramach poszczególnych polityk publicznych, na poziomie regionalnym, tak aby uwzględniały one występujące trendy demograficzne. </w:t>
      </w:r>
    </w:p>
    <w:p w:rsidR="00831ECF" w:rsidRPr="006E6D95" w:rsidRDefault="00641928" w:rsidP="00AA1F74">
      <w:pPr>
        <w:pStyle w:val="Nagwek2"/>
        <w:rPr>
          <w:color w:val="000000" w:themeColor="text1"/>
        </w:rPr>
      </w:pPr>
      <w:bookmarkStart w:id="65" w:name="_Toc511716330"/>
      <w:r w:rsidRPr="006E6D95">
        <w:rPr>
          <w:color w:val="000000" w:themeColor="text1"/>
        </w:rPr>
        <w:t xml:space="preserve">6.2 </w:t>
      </w:r>
      <w:r w:rsidR="001251C7" w:rsidRPr="006E6D95">
        <w:rPr>
          <w:color w:val="000000" w:themeColor="text1"/>
        </w:rPr>
        <w:t>PROGRAMOWANIE ROZWOJU</w:t>
      </w:r>
      <w:bookmarkEnd w:id="65"/>
    </w:p>
    <w:p w:rsidR="00831ECF" w:rsidRPr="006E6D95" w:rsidRDefault="00831ECF" w:rsidP="005F49A2">
      <w:pPr>
        <w:pStyle w:val="TEKST"/>
        <w:rPr>
          <w:color w:val="000000" w:themeColor="text1"/>
        </w:rPr>
      </w:pPr>
      <w:r w:rsidRPr="006E6D95">
        <w:rPr>
          <w:color w:val="000000" w:themeColor="text1"/>
        </w:rPr>
        <w:t>Najważniejszymi dokumentami określającymi politykę rozwoju Dolnego Śląska i wyzwania stojące przed regionem są Strategia Rozwoju Województwa Dolnośląskiego oraz Plan Zagospodarowania Przestrzennego Województwa Dolnośląskiego. Są one również nadrzędne względem wszystkich pozostałych dokumentów strategicznych, programowych, planistycznych czy finansowych przygotowywanych na poziomie regionalnym. W związku</w:t>
      </w:r>
      <w:r w:rsidR="00194077" w:rsidRPr="006E6D95">
        <w:rPr>
          <w:color w:val="000000" w:themeColor="text1"/>
        </w:rPr>
        <w:t xml:space="preserve"> </w:t>
      </w:r>
      <w:r w:rsidRPr="006E6D95">
        <w:rPr>
          <w:color w:val="000000" w:themeColor="text1"/>
        </w:rPr>
        <w:t xml:space="preserve">z przygotowywaną </w:t>
      </w:r>
      <w:r w:rsidRPr="006E6D95">
        <w:rPr>
          <w:b/>
          <w:color w:val="000000" w:themeColor="text1"/>
        </w:rPr>
        <w:t>reformą systemu zarządzania rozwojem kraju</w:t>
      </w:r>
      <w:r w:rsidRPr="006E6D95">
        <w:rPr>
          <w:color w:val="000000" w:themeColor="text1"/>
        </w:rPr>
        <w:t xml:space="preserve">, w tym planowaną po 2020 roku </w:t>
      </w:r>
      <w:r w:rsidRPr="006E6D95">
        <w:rPr>
          <w:b/>
          <w:color w:val="000000" w:themeColor="text1"/>
        </w:rPr>
        <w:t>integra</w:t>
      </w:r>
      <w:r w:rsidR="00AA1F74" w:rsidRPr="006E6D95">
        <w:rPr>
          <w:b/>
          <w:color w:val="000000" w:themeColor="text1"/>
        </w:rPr>
        <w:t>cją planowania strategicznego i </w:t>
      </w:r>
      <w:r w:rsidRPr="006E6D95">
        <w:rPr>
          <w:b/>
          <w:color w:val="000000" w:themeColor="text1"/>
        </w:rPr>
        <w:t>przestrzennego</w:t>
      </w:r>
      <w:r w:rsidRPr="006E6D95">
        <w:rPr>
          <w:color w:val="000000" w:themeColor="text1"/>
        </w:rPr>
        <w:t xml:space="preserve"> na poziomie regionalnym, zapisy SRWD 2030 będą ściśle powiązane z</w:t>
      </w:r>
      <w:r w:rsidR="005F2FC7" w:rsidRPr="006E6D95">
        <w:rPr>
          <w:color w:val="000000" w:themeColor="text1"/>
        </w:rPr>
        <w:t> </w:t>
      </w:r>
      <w:r w:rsidRPr="006E6D95">
        <w:rPr>
          <w:color w:val="000000" w:themeColor="text1"/>
        </w:rPr>
        <w:t>ustaleniami aktualizowanego PZPWD.</w:t>
      </w:r>
    </w:p>
    <w:p w:rsidR="00831ECF" w:rsidRPr="006E6D95" w:rsidRDefault="00831ECF" w:rsidP="005F49A2">
      <w:pPr>
        <w:pStyle w:val="TEKST"/>
        <w:rPr>
          <w:color w:val="000000" w:themeColor="text1"/>
        </w:rPr>
      </w:pPr>
      <w:r w:rsidRPr="006E6D95">
        <w:rPr>
          <w:color w:val="000000" w:themeColor="text1"/>
        </w:rPr>
        <w:t xml:space="preserve">Dokumentami o charakterze operacyjno-wdrożeniowym, stanowiącymi zasadnicze narzędzie realizacji zapisów SRWD 2030, będą </w:t>
      </w:r>
      <w:r w:rsidRPr="006E6D95">
        <w:rPr>
          <w:b/>
          <w:color w:val="000000" w:themeColor="text1"/>
        </w:rPr>
        <w:t xml:space="preserve">wojewódzkie programy rozwoju </w:t>
      </w:r>
      <w:r w:rsidRPr="006E6D95">
        <w:rPr>
          <w:color w:val="000000" w:themeColor="text1"/>
        </w:rPr>
        <w:t>i</w:t>
      </w:r>
      <w:r w:rsidRPr="006E6D95">
        <w:rPr>
          <w:b/>
          <w:color w:val="000000" w:themeColor="text1"/>
        </w:rPr>
        <w:t xml:space="preserve"> polityki wojewódzkie</w:t>
      </w:r>
      <w:r w:rsidR="00151D37" w:rsidRPr="006E6D95">
        <w:rPr>
          <w:b/>
          <w:color w:val="000000" w:themeColor="text1"/>
        </w:rPr>
        <w:t>,</w:t>
      </w:r>
      <w:r w:rsidR="00A712BD" w:rsidRPr="006E6D95">
        <w:rPr>
          <w:b/>
          <w:color w:val="000000" w:themeColor="text1"/>
        </w:rPr>
        <w:t xml:space="preserve"> m.in.</w:t>
      </w:r>
      <w:r w:rsidR="00B93B71" w:rsidRPr="006E6D95">
        <w:rPr>
          <w:b/>
          <w:color w:val="000000" w:themeColor="text1"/>
        </w:rPr>
        <w:t xml:space="preserve"> Dolny Śląsk. Zielona Dolina Żywności i Zdrowia, Strategia Rozwoju Sportu w Województwie Dolnośląskim</w:t>
      </w:r>
      <w:r w:rsidR="00B36DBA" w:rsidRPr="006E6D95">
        <w:rPr>
          <w:b/>
          <w:color w:val="000000" w:themeColor="text1"/>
        </w:rPr>
        <w:t>, Regionalna Strategia Innowacji dla Województwa Dolnośląskiego 2011-2020 (wraz z planowaną aktualizacja)</w:t>
      </w:r>
      <w:r w:rsidR="00566FA1" w:rsidRPr="006E6D95">
        <w:rPr>
          <w:color w:val="000000" w:themeColor="text1"/>
        </w:rPr>
        <w:t xml:space="preserve"> oraz </w:t>
      </w:r>
      <w:r w:rsidR="00566FA1" w:rsidRPr="006E6D95">
        <w:rPr>
          <w:b/>
          <w:color w:val="000000" w:themeColor="text1"/>
        </w:rPr>
        <w:t xml:space="preserve">Strategia </w:t>
      </w:r>
      <w:r w:rsidR="00000DB5" w:rsidRPr="006E6D95">
        <w:rPr>
          <w:b/>
          <w:color w:val="000000" w:themeColor="text1"/>
        </w:rPr>
        <w:t>„</w:t>
      </w:r>
      <w:r w:rsidR="00566FA1" w:rsidRPr="006E6D95">
        <w:rPr>
          <w:b/>
          <w:color w:val="000000" w:themeColor="text1"/>
        </w:rPr>
        <w:t>Sudety 2030</w:t>
      </w:r>
      <w:r w:rsidR="00000DB5" w:rsidRPr="006E6D95">
        <w:rPr>
          <w:b/>
          <w:color w:val="000000" w:themeColor="text1"/>
        </w:rPr>
        <w:t>”</w:t>
      </w:r>
      <w:r w:rsidR="00566FA1" w:rsidRPr="006E6D95">
        <w:rPr>
          <w:b/>
          <w:color w:val="000000" w:themeColor="text1"/>
        </w:rPr>
        <w:t>.</w:t>
      </w:r>
      <w:r w:rsidR="00566FA1" w:rsidRPr="006E6D95">
        <w:rPr>
          <w:color w:val="000000" w:themeColor="text1"/>
        </w:rPr>
        <w:t xml:space="preserve"> </w:t>
      </w:r>
      <w:r w:rsidRPr="006E6D95">
        <w:rPr>
          <w:color w:val="000000" w:themeColor="text1"/>
        </w:rPr>
        <w:t xml:space="preserve">Programy będą opracowywane w zakresie działań </w:t>
      </w:r>
      <w:r w:rsidR="00AA1F74" w:rsidRPr="006E6D95">
        <w:rPr>
          <w:color w:val="000000" w:themeColor="text1"/>
        </w:rPr>
        <w:t>będących w </w:t>
      </w:r>
      <w:r w:rsidR="00151D37" w:rsidRPr="006E6D95">
        <w:rPr>
          <w:color w:val="000000" w:themeColor="text1"/>
        </w:rPr>
        <w:t>bezpośrednich kompetencjach</w:t>
      </w:r>
      <w:r w:rsidRPr="006E6D95">
        <w:rPr>
          <w:color w:val="000000" w:themeColor="text1"/>
        </w:rPr>
        <w:t xml:space="preserve"> samorządu regionalnego. Programy rozwoju mogą być poprzedzone opracowaniem strategii terytorialnych, sektorowych lub dziedzinowych. Natomiast polityki będą dotyczyły zadań publicznych leżących poza zakresem bezpośredniego wpływu i d</w:t>
      </w:r>
      <w:r w:rsidR="00AA1F74" w:rsidRPr="006E6D95">
        <w:rPr>
          <w:color w:val="000000" w:themeColor="text1"/>
        </w:rPr>
        <w:t>otyczyć będą takich działań jak </w:t>
      </w:r>
      <w:r w:rsidRPr="006E6D95">
        <w:rPr>
          <w:color w:val="000000" w:themeColor="text1"/>
        </w:rPr>
        <w:t>inicjowanie współpracy poszczególnych interesariuszy w regionie, wsparcie finansowe</w:t>
      </w:r>
      <w:r w:rsidR="00194077" w:rsidRPr="006E6D95">
        <w:rPr>
          <w:color w:val="000000" w:themeColor="text1"/>
        </w:rPr>
        <w:t xml:space="preserve"> </w:t>
      </w:r>
      <w:r w:rsidR="00AA1F74" w:rsidRPr="006E6D95">
        <w:rPr>
          <w:color w:val="000000" w:themeColor="text1"/>
        </w:rPr>
        <w:t>i merytoryczne dla </w:t>
      </w:r>
      <w:r w:rsidRPr="006E6D95">
        <w:rPr>
          <w:color w:val="000000" w:themeColor="text1"/>
        </w:rPr>
        <w:t>przedsięwzięć o</w:t>
      </w:r>
      <w:r w:rsidR="005F2FC7" w:rsidRPr="006E6D95">
        <w:rPr>
          <w:color w:val="000000" w:themeColor="text1"/>
        </w:rPr>
        <w:t> </w:t>
      </w:r>
      <w:r w:rsidRPr="006E6D95">
        <w:rPr>
          <w:color w:val="000000" w:themeColor="text1"/>
        </w:rPr>
        <w:t>istotnej wartości dodanej, zabieganie o inwestycje rządowe w regionie czy też racjonalne wydatkowanie funduszy europejskich. Niektóre dziedziny będą jednak zawierały wspól</w:t>
      </w:r>
      <w:r w:rsidR="005F2FC7" w:rsidRPr="006E6D95">
        <w:rPr>
          <w:color w:val="000000" w:themeColor="text1"/>
        </w:rPr>
        <w:t>ne elementy programów rozwoju i </w:t>
      </w:r>
      <w:r w:rsidRPr="006E6D95">
        <w:rPr>
          <w:color w:val="000000" w:themeColor="text1"/>
        </w:rPr>
        <w:t>polityk. Jest to związane z naturalnym przenikaniem się kompetencji podmiotów odpowiedzialnych za daną dziedzinę życia społeczno-gospodarczego.</w:t>
      </w:r>
    </w:p>
    <w:p w:rsidR="00831ECF" w:rsidRPr="006E6D95" w:rsidRDefault="00831ECF" w:rsidP="005F49A2">
      <w:pPr>
        <w:pStyle w:val="TEKST"/>
        <w:rPr>
          <w:color w:val="000000" w:themeColor="text1"/>
        </w:rPr>
      </w:pPr>
      <w:r w:rsidRPr="006E6D95">
        <w:rPr>
          <w:color w:val="000000" w:themeColor="text1"/>
        </w:rPr>
        <w:t>Programy rozwoju i polityki będą dokumentami o średniookresowej pers</w:t>
      </w:r>
      <w:r w:rsidR="005F2FC7" w:rsidRPr="006E6D95">
        <w:rPr>
          <w:color w:val="000000" w:themeColor="text1"/>
        </w:rPr>
        <w:t>pektywie realizacji, jednak nie </w:t>
      </w:r>
      <w:r w:rsidRPr="006E6D95">
        <w:rPr>
          <w:color w:val="000000" w:themeColor="text1"/>
        </w:rPr>
        <w:t xml:space="preserve">dłuższej niż obowiązująca strategia regionalna. Powinny one realizować także jeden lub więcej celów operacyjnych oraz precyzować przyjęte kierunki działań konieczne dla </w:t>
      </w:r>
      <w:r w:rsidR="005F2FC7" w:rsidRPr="006E6D95">
        <w:rPr>
          <w:color w:val="000000" w:themeColor="text1"/>
        </w:rPr>
        <w:t>ich realizacji i </w:t>
      </w:r>
      <w:r w:rsidR="00AA1F74" w:rsidRPr="006E6D95">
        <w:rPr>
          <w:color w:val="000000" w:themeColor="text1"/>
        </w:rPr>
        <w:t>odnosić</w:t>
      </w:r>
      <w:r w:rsidR="005F2FC7" w:rsidRPr="006E6D95">
        <w:rPr>
          <w:color w:val="000000" w:themeColor="text1"/>
        </w:rPr>
        <w:t> </w:t>
      </w:r>
      <w:r w:rsidR="00AA1F74" w:rsidRPr="006E6D95">
        <w:rPr>
          <w:color w:val="000000" w:themeColor="text1"/>
        </w:rPr>
        <w:t>się do </w:t>
      </w:r>
      <w:r w:rsidRPr="006E6D95">
        <w:rPr>
          <w:color w:val="000000" w:themeColor="text1"/>
        </w:rPr>
        <w:t>przestrzeni, sektorów, dziedzin lub subregionów.</w:t>
      </w:r>
    </w:p>
    <w:p w:rsidR="00831ECF" w:rsidRPr="006E6D95" w:rsidRDefault="00831ECF" w:rsidP="00D41A4A">
      <w:pPr>
        <w:pStyle w:val="TEKST"/>
        <w:spacing w:after="60"/>
        <w:rPr>
          <w:color w:val="000000" w:themeColor="text1"/>
        </w:rPr>
      </w:pPr>
      <w:r w:rsidRPr="006E6D95">
        <w:rPr>
          <w:color w:val="000000" w:themeColor="text1"/>
        </w:rPr>
        <w:t>Tworzone dokumenty operacyjno-wdrożeniowe powinny być przygotowywane w powiązaniu z</w:t>
      </w:r>
      <w:r w:rsidR="005F2FC7" w:rsidRPr="006E6D95">
        <w:rPr>
          <w:color w:val="000000" w:themeColor="text1"/>
        </w:rPr>
        <w:t> </w:t>
      </w:r>
      <w:r w:rsidRPr="006E6D95">
        <w:rPr>
          <w:color w:val="000000" w:themeColor="text1"/>
        </w:rPr>
        <w:t>zapisami SRWD 2030 oraz zawierać przynajmniej:</w:t>
      </w:r>
    </w:p>
    <w:p w:rsidR="00831ECF" w:rsidRPr="006E6D95" w:rsidRDefault="004B0E5A" w:rsidP="005F49A2">
      <w:pPr>
        <w:pStyle w:val="TEKST"/>
        <w:numPr>
          <w:ilvl w:val="0"/>
          <w:numId w:val="6"/>
        </w:numPr>
        <w:spacing w:after="60"/>
        <w:ind w:left="567" w:hanging="283"/>
        <w:rPr>
          <w:color w:val="000000" w:themeColor="text1"/>
        </w:rPr>
      </w:pPr>
      <w:r w:rsidRPr="006E6D95">
        <w:rPr>
          <w:color w:val="000000" w:themeColor="text1"/>
        </w:rPr>
        <w:t>W</w:t>
      </w:r>
      <w:r w:rsidR="00831ECF" w:rsidRPr="006E6D95">
        <w:rPr>
          <w:color w:val="000000" w:themeColor="text1"/>
        </w:rPr>
        <w:t>nioski z diagnozy stanu w odniesieniu do danego obszaru tematycznego oraz wnioski z</w:t>
      </w:r>
      <w:r w:rsidR="005F2FC7" w:rsidRPr="006E6D95">
        <w:rPr>
          <w:color w:val="000000" w:themeColor="text1"/>
        </w:rPr>
        <w:t> </w:t>
      </w:r>
      <w:r w:rsidR="00765292" w:rsidRPr="006E6D95">
        <w:rPr>
          <w:color w:val="000000" w:themeColor="text1"/>
        </w:rPr>
        <w:t>raportu ewaluacyjnego</w:t>
      </w:r>
      <w:r w:rsidR="00831ECF" w:rsidRPr="006E6D95">
        <w:rPr>
          <w:color w:val="000000" w:themeColor="text1"/>
        </w:rPr>
        <w:t xml:space="preserve"> (jeśli takie opracowania istnieją);</w:t>
      </w:r>
    </w:p>
    <w:p w:rsidR="00831ECF" w:rsidRPr="006E6D95" w:rsidRDefault="004B0E5A" w:rsidP="005F49A2">
      <w:pPr>
        <w:pStyle w:val="TEKST"/>
        <w:numPr>
          <w:ilvl w:val="0"/>
          <w:numId w:val="6"/>
        </w:numPr>
        <w:spacing w:after="60"/>
        <w:ind w:left="567" w:hanging="283"/>
        <w:rPr>
          <w:color w:val="000000" w:themeColor="text1"/>
        </w:rPr>
      </w:pPr>
      <w:r w:rsidRPr="006E6D95">
        <w:rPr>
          <w:color w:val="000000" w:themeColor="text1"/>
        </w:rPr>
        <w:t>C</w:t>
      </w:r>
      <w:r w:rsidR="00831ECF" w:rsidRPr="006E6D95">
        <w:rPr>
          <w:color w:val="000000" w:themeColor="text1"/>
        </w:rPr>
        <w:t>zęść projekcyjną zawierającą cel główny i cele szczegółowe, z odniesieniem do odpowiednich zapisów SRWD 2030, w tym sprecyzowanie przyjętych kierunków działań;</w:t>
      </w:r>
    </w:p>
    <w:p w:rsidR="00831ECF" w:rsidRPr="006E6D95" w:rsidRDefault="004B0E5A" w:rsidP="005F49A2">
      <w:pPr>
        <w:pStyle w:val="TEKST"/>
        <w:numPr>
          <w:ilvl w:val="0"/>
          <w:numId w:val="6"/>
        </w:numPr>
        <w:spacing w:after="60"/>
        <w:ind w:left="567" w:hanging="283"/>
        <w:rPr>
          <w:color w:val="000000" w:themeColor="text1"/>
        </w:rPr>
      </w:pPr>
      <w:r w:rsidRPr="006E6D95">
        <w:rPr>
          <w:color w:val="000000" w:themeColor="text1"/>
        </w:rPr>
        <w:t>P</w:t>
      </w:r>
      <w:r w:rsidR="00831ECF" w:rsidRPr="006E6D95">
        <w:rPr>
          <w:color w:val="000000" w:themeColor="text1"/>
        </w:rPr>
        <w:t>lan finansowy i podstawowe założenia systemu realizacji, w tym źródła finansowania realizacji, szacowane kwoty środków i ich podział między poszczególne cele;</w:t>
      </w:r>
    </w:p>
    <w:p w:rsidR="00831ECF" w:rsidRPr="006E6D95" w:rsidRDefault="004B0E5A" w:rsidP="005F49A2">
      <w:pPr>
        <w:pStyle w:val="TEKST"/>
        <w:numPr>
          <w:ilvl w:val="0"/>
          <w:numId w:val="6"/>
        </w:numPr>
        <w:ind w:left="567" w:hanging="283"/>
        <w:rPr>
          <w:color w:val="000000" w:themeColor="text1"/>
        </w:rPr>
      </w:pPr>
      <w:r w:rsidRPr="006E6D95">
        <w:rPr>
          <w:color w:val="000000" w:themeColor="text1"/>
        </w:rPr>
        <w:t>M</w:t>
      </w:r>
      <w:r w:rsidR="00831ECF" w:rsidRPr="006E6D95">
        <w:rPr>
          <w:color w:val="000000" w:themeColor="text1"/>
        </w:rPr>
        <w:t>onitoring – opis sposobu monitorowania i oceny st</w:t>
      </w:r>
      <w:r w:rsidR="005F2FC7" w:rsidRPr="006E6D95">
        <w:rPr>
          <w:color w:val="000000" w:themeColor="text1"/>
        </w:rPr>
        <w:t>opnia osiągania celu głównego i </w:t>
      </w:r>
      <w:r w:rsidR="00831ECF" w:rsidRPr="006E6D95">
        <w:rPr>
          <w:color w:val="000000" w:themeColor="text1"/>
        </w:rPr>
        <w:t>celów szczegółowych.</w:t>
      </w:r>
    </w:p>
    <w:p w:rsidR="00831ECF" w:rsidRPr="006E6D95" w:rsidRDefault="00831ECF" w:rsidP="005F49A2">
      <w:pPr>
        <w:pStyle w:val="TEKST"/>
        <w:rPr>
          <w:color w:val="000000" w:themeColor="text1"/>
        </w:rPr>
      </w:pPr>
      <w:r w:rsidRPr="006E6D95">
        <w:rPr>
          <w:color w:val="000000" w:themeColor="text1"/>
        </w:rPr>
        <w:lastRenderedPageBreak/>
        <w:t>Dla implementacji zasady zintegrowanego zarządzania rozwojem regionu programy rozwoju</w:t>
      </w:r>
      <w:r w:rsidR="00765292" w:rsidRPr="006E6D95">
        <w:rPr>
          <w:color w:val="000000" w:themeColor="text1"/>
        </w:rPr>
        <w:t xml:space="preserve"> </w:t>
      </w:r>
      <w:r w:rsidRPr="006E6D95">
        <w:rPr>
          <w:color w:val="000000" w:themeColor="text1"/>
        </w:rPr>
        <w:t>i</w:t>
      </w:r>
      <w:r w:rsidR="00765292" w:rsidRPr="006E6D95">
        <w:rPr>
          <w:color w:val="000000" w:themeColor="text1"/>
        </w:rPr>
        <w:t> </w:t>
      </w:r>
      <w:r w:rsidRPr="006E6D95">
        <w:rPr>
          <w:color w:val="000000" w:themeColor="text1"/>
        </w:rPr>
        <w:t>polityki powinny określać podejście terytorialne do rozwoju województwa w danym obszarze tematycznym (podejście w oparciu o zapisy SRWD 2030). W sytuacji, gdy dany obszar tematyczny będący przedmiotem opracowania, regulowany jest przez akty normatywne o charakterze szczegółowym, powinien on w swojej treści uwzględniać także te zapisy.</w:t>
      </w:r>
    </w:p>
    <w:p w:rsidR="00831ECF" w:rsidRPr="006E6D95" w:rsidRDefault="00831ECF" w:rsidP="005F49A2">
      <w:pPr>
        <w:pStyle w:val="TEKST"/>
        <w:rPr>
          <w:color w:val="000000" w:themeColor="text1"/>
        </w:rPr>
      </w:pPr>
      <w:r w:rsidRPr="006E6D95">
        <w:rPr>
          <w:color w:val="000000" w:themeColor="text1"/>
        </w:rPr>
        <w:t>Docelowy katalog programów rozwoju i polityk oraz ich zakres tematy</w:t>
      </w:r>
      <w:r w:rsidR="00765292" w:rsidRPr="006E6D95">
        <w:rPr>
          <w:color w:val="000000" w:themeColor="text1"/>
        </w:rPr>
        <w:t xml:space="preserve">czny określi </w:t>
      </w:r>
      <w:r w:rsidR="009E05D6" w:rsidRPr="006E6D95">
        <w:rPr>
          <w:b/>
          <w:color w:val="000000" w:themeColor="text1"/>
        </w:rPr>
        <w:t>P</w:t>
      </w:r>
      <w:r w:rsidRPr="006E6D95">
        <w:rPr>
          <w:b/>
          <w:color w:val="000000" w:themeColor="text1"/>
        </w:rPr>
        <w:t>lan wykonawczy</w:t>
      </w:r>
      <w:r w:rsidR="009E05D6" w:rsidRPr="006E6D95">
        <w:rPr>
          <w:b/>
          <w:color w:val="000000" w:themeColor="text1"/>
        </w:rPr>
        <w:t xml:space="preserve"> SRWD 2030</w:t>
      </w:r>
      <w:r w:rsidRPr="006E6D95">
        <w:rPr>
          <w:color w:val="000000" w:themeColor="text1"/>
        </w:rPr>
        <w:t xml:space="preserve"> uchwalony przez Zarząd Województwa Dolnośląskiego po zatwierdzeniu SRWD 2030 przez Sejmik Województwa Dolnośląskiego. Plan wykonawczy określać będzie również komórki organizacyjne Urzędu Marszałkowskiego Województwa Dolnośląskiego czy wojewódzkie jednostki organizacyjne odpowiedzialne za opracowanie, wdrażanie i monitoring konkretnych programów rozwoju czy polityk. Jeśli będzie taka konieczność, wskazane także zostaną podmiot</w:t>
      </w:r>
      <w:r w:rsidR="00AA1F74" w:rsidRPr="006E6D95">
        <w:rPr>
          <w:color w:val="000000" w:themeColor="text1"/>
        </w:rPr>
        <w:t>y współpracujące, szczególnie w </w:t>
      </w:r>
      <w:r w:rsidRPr="006E6D95">
        <w:rPr>
          <w:color w:val="000000" w:themeColor="text1"/>
        </w:rPr>
        <w:t xml:space="preserve">przypadkach dużej złożoności zakresu tematycznego programów i polityk. </w:t>
      </w:r>
    </w:p>
    <w:p w:rsidR="00831ECF" w:rsidRPr="006E6D95" w:rsidRDefault="00151D37" w:rsidP="005F49A2">
      <w:pPr>
        <w:pStyle w:val="TEKST"/>
        <w:rPr>
          <w:color w:val="000000" w:themeColor="text1"/>
        </w:rPr>
      </w:pPr>
      <w:r w:rsidRPr="006E6D95">
        <w:rPr>
          <w:color w:val="000000" w:themeColor="text1"/>
        </w:rPr>
        <w:t>P</w:t>
      </w:r>
      <w:r w:rsidR="00831ECF" w:rsidRPr="006E6D95">
        <w:rPr>
          <w:color w:val="000000" w:themeColor="text1"/>
        </w:rPr>
        <w:t xml:space="preserve">lan wykonawczy </w:t>
      </w:r>
      <w:r w:rsidR="00983B19" w:rsidRPr="006E6D95">
        <w:rPr>
          <w:color w:val="000000" w:themeColor="text1"/>
        </w:rPr>
        <w:t>określi procedurę obejmującą koordynację procesu planowania strategicznego na poziomie województwa, w tym przygotowywania dokumentów analitycznych, strategicznych i</w:t>
      </w:r>
      <w:r w:rsidR="00F77394" w:rsidRPr="006E6D95">
        <w:rPr>
          <w:color w:val="000000" w:themeColor="text1"/>
        </w:rPr>
        <w:t> </w:t>
      </w:r>
      <w:r w:rsidR="00983B19" w:rsidRPr="006E6D95">
        <w:rPr>
          <w:color w:val="000000" w:themeColor="text1"/>
        </w:rPr>
        <w:t>programowych w zakresie polityki regionalnej województwa.</w:t>
      </w:r>
      <w:r w:rsidR="0049092F" w:rsidRPr="006E6D95">
        <w:rPr>
          <w:color w:val="000000" w:themeColor="text1"/>
        </w:rPr>
        <w:t>.</w:t>
      </w:r>
    </w:p>
    <w:p w:rsidR="00831ECF" w:rsidRPr="006E6D95" w:rsidRDefault="00831ECF" w:rsidP="005F49A2">
      <w:pPr>
        <w:pStyle w:val="TEKST"/>
        <w:rPr>
          <w:color w:val="000000" w:themeColor="text1"/>
        </w:rPr>
      </w:pPr>
      <w:r w:rsidRPr="006E6D95">
        <w:rPr>
          <w:color w:val="000000" w:themeColor="text1"/>
        </w:rPr>
        <w:t xml:space="preserve">W oparciu o ustalenia </w:t>
      </w:r>
      <w:r w:rsidR="00151D37" w:rsidRPr="006E6D95">
        <w:rPr>
          <w:color w:val="000000" w:themeColor="text1"/>
        </w:rPr>
        <w:t>P</w:t>
      </w:r>
      <w:r w:rsidRPr="006E6D95">
        <w:rPr>
          <w:color w:val="000000" w:themeColor="text1"/>
        </w:rPr>
        <w:t xml:space="preserve">lanu wykonawczego Zarząd Województwa będzie uchwalał </w:t>
      </w:r>
      <w:r w:rsidRPr="006E6D95">
        <w:rPr>
          <w:b/>
          <w:color w:val="000000" w:themeColor="text1"/>
        </w:rPr>
        <w:t>wykaz zadań/przedsięwzięć strategicznych</w:t>
      </w:r>
      <w:r w:rsidRPr="006E6D95">
        <w:rPr>
          <w:color w:val="000000" w:themeColor="text1"/>
        </w:rPr>
        <w:t>, który będzie podstawą finansowania ze środków budżetu Województwa i ubiegania się o wsparcie ze środków zewnętrznych w tym w ramach Kontraktu Terytorialnego.</w:t>
      </w:r>
    </w:p>
    <w:p w:rsidR="00831ECF" w:rsidRPr="006E6D95" w:rsidRDefault="00641928" w:rsidP="00AA1F74">
      <w:pPr>
        <w:pStyle w:val="Nagwek2"/>
        <w:rPr>
          <w:color w:val="000000" w:themeColor="text1"/>
        </w:rPr>
      </w:pPr>
      <w:bookmarkStart w:id="66" w:name="_Toc511716331"/>
      <w:r w:rsidRPr="006E6D95">
        <w:rPr>
          <w:color w:val="000000" w:themeColor="text1"/>
        </w:rPr>
        <w:t>6</w:t>
      </w:r>
      <w:r w:rsidR="00680242" w:rsidRPr="006E6D95">
        <w:rPr>
          <w:color w:val="000000" w:themeColor="text1"/>
        </w:rPr>
        <w:t xml:space="preserve">.3 </w:t>
      </w:r>
      <w:r w:rsidR="001251C7" w:rsidRPr="006E6D95">
        <w:rPr>
          <w:color w:val="000000" w:themeColor="text1"/>
        </w:rPr>
        <w:t>INSTYTUCJE WDRAŻAJĄCE</w:t>
      </w:r>
      <w:bookmarkEnd w:id="66"/>
    </w:p>
    <w:p w:rsidR="00831ECF" w:rsidRPr="006E6D95" w:rsidRDefault="00831ECF" w:rsidP="005F49A2">
      <w:pPr>
        <w:pStyle w:val="TEKST"/>
        <w:rPr>
          <w:color w:val="000000" w:themeColor="text1"/>
        </w:rPr>
      </w:pPr>
      <w:r w:rsidRPr="006E6D95">
        <w:rPr>
          <w:color w:val="000000" w:themeColor="text1"/>
        </w:rPr>
        <w:t>Głównym podmiotem odpowiedzialnym za proces wdrażania SRWD 2030 jest Zarząd Województwa Dolnośląskiego. Zadanie to będzie realizowane przez jednostkę pomocniczą Urząd Marszałkowski Województwa Dolnośląskiego (UMWD), wojewódzkie jednostki organizacyjne oraz spółki prawa handlowego z udziałem samorządu województwa. W procesie wdrażania SRWD 2030, Zarząd Województwa Dolnośląskiego będzie również wspierany przez inne podmioty z wiodącą rolą Regionalnego Forum Terytorialnego jako głównego gremium opiniodawczo-doradczego i</w:t>
      </w:r>
      <w:r w:rsidR="005F2FC7" w:rsidRPr="006E6D95">
        <w:rPr>
          <w:color w:val="000000" w:themeColor="text1"/>
        </w:rPr>
        <w:t> </w:t>
      </w:r>
      <w:r w:rsidRPr="006E6D95">
        <w:rPr>
          <w:color w:val="000000" w:themeColor="text1"/>
        </w:rPr>
        <w:t>zarazem zaplecze eksperckie.</w:t>
      </w:r>
    </w:p>
    <w:p w:rsidR="00831ECF" w:rsidRPr="006E6D95" w:rsidRDefault="00831ECF" w:rsidP="005F49A2">
      <w:pPr>
        <w:pStyle w:val="TEKST"/>
        <w:rPr>
          <w:color w:val="000000" w:themeColor="text1"/>
        </w:rPr>
      </w:pPr>
      <w:r w:rsidRPr="006E6D95">
        <w:rPr>
          <w:color w:val="000000" w:themeColor="text1"/>
        </w:rPr>
        <w:t>Zadaniem działającego w strukturze UMWD Komitetu Koordynującego ds. SRWD 2030 będzie formułowanie opinii i rekomendacji dotyczących procesu wdrażania, monitorowania</w:t>
      </w:r>
      <w:r w:rsidR="00194077" w:rsidRPr="006E6D95">
        <w:rPr>
          <w:color w:val="000000" w:themeColor="text1"/>
        </w:rPr>
        <w:t xml:space="preserve"> </w:t>
      </w:r>
      <w:r w:rsidRPr="006E6D95">
        <w:rPr>
          <w:color w:val="000000" w:themeColor="text1"/>
        </w:rPr>
        <w:t>i ewaluacji SRWD 2030.</w:t>
      </w:r>
    </w:p>
    <w:p w:rsidR="00831ECF" w:rsidRPr="006E6D95" w:rsidRDefault="00831ECF" w:rsidP="005F49A2">
      <w:pPr>
        <w:pStyle w:val="TEKST"/>
        <w:rPr>
          <w:color w:val="000000" w:themeColor="text1"/>
        </w:rPr>
      </w:pPr>
      <w:r w:rsidRPr="006E6D95">
        <w:rPr>
          <w:color w:val="000000" w:themeColor="text1"/>
        </w:rPr>
        <w:t>Dla skutecznej realizacji zapisów SRWD 2030, Zarząd Województwa Dolnoś</w:t>
      </w:r>
      <w:r w:rsidR="005F2FC7" w:rsidRPr="006E6D95">
        <w:rPr>
          <w:color w:val="000000" w:themeColor="text1"/>
        </w:rPr>
        <w:t>ląskiego będzie współpracował z </w:t>
      </w:r>
      <w:r w:rsidRPr="006E6D95">
        <w:rPr>
          <w:color w:val="000000" w:themeColor="text1"/>
        </w:rPr>
        <w:t>pozostałymi podmiotami, które w sposób samodzielny i niezależny realizują działania mające istotny wpływ na rozwój regionu. Do tych podmiotów należą w szczególności lokalne jednostki samorządu terytorialnego, podmioty administracji rządowej (zarówno terenowej, jak i centralnej), uczelnie wyższe, przedsiębiorcy, organizacje pozarządowe.</w:t>
      </w:r>
    </w:p>
    <w:p w:rsidR="00BD1D20" w:rsidRPr="006E6D95" w:rsidRDefault="00BD1D20" w:rsidP="005F49A2">
      <w:pPr>
        <w:pStyle w:val="TEKST"/>
        <w:rPr>
          <w:b/>
          <w:color w:val="000000" w:themeColor="text1"/>
        </w:rPr>
      </w:pPr>
    </w:p>
    <w:p w:rsidR="00AA1F74" w:rsidRPr="00AE35C1" w:rsidRDefault="00AA1F74" w:rsidP="005F49A2">
      <w:pPr>
        <w:pStyle w:val="TEKST"/>
        <w:rPr>
          <w:b/>
        </w:rPr>
      </w:pPr>
    </w:p>
    <w:p w:rsidR="00AA1F74" w:rsidRPr="00AE35C1" w:rsidRDefault="00AA1F74" w:rsidP="005F49A2">
      <w:pPr>
        <w:pStyle w:val="TEKST"/>
        <w:rPr>
          <w:b/>
        </w:rPr>
      </w:pPr>
    </w:p>
    <w:p w:rsidR="00AA1F74" w:rsidRPr="00AE35C1" w:rsidRDefault="00AA1F74" w:rsidP="005F49A2">
      <w:pPr>
        <w:pStyle w:val="TEKST"/>
        <w:rPr>
          <w:b/>
        </w:rPr>
      </w:pPr>
    </w:p>
    <w:p w:rsidR="00DD2325" w:rsidRDefault="00DD2325" w:rsidP="00765292">
      <w:pPr>
        <w:pStyle w:val="TEKST"/>
        <w:jc w:val="center"/>
      </w:pPr>
    </w:p>
    <w:p w:rsidR="008F1847" w:rsidRPr="00AE35C1" w:rsidRDefault="00DF5AA0" w:rsidP="00521936">
      <w:pPr>
        <w:pStyle w:val="TEKST"/>
        <w:jc w:val="center"/>
      </w:pPr>
      <w:r w:rsidRPr="00AE35C1">
        <w:t>SCHEMAT SYSTEMU WDRAŻANIA STRATEGII ROZWOJU WOJEWÓDZTWA DOLNOŚLĄSKIEGO 2030</w:t>
      </w:r>
    </w:p>
    <w:p w:rsidR="00A233B1" w:rsidRPr="00AE35C1" w:rsidRDefault="00521936" w:rsidP="00765292">
      <w:pPr>
        <w:pStyle w:val="TEKST"/>
        <w:jc w:val="center"/>
      </w:pPr>
      <w:r w:rsidRPr="00AE35C1">
        <w:object w:dxaOrig="10801" w:dyaOrig="81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2pt;height:287.4pt" o:ole="">
            <v:imagedata r:id="rId98" o:title=""/>
          </v:shape>
          <o:OLEObject Type="Embed" ProgID="AcroExch.Document.11" ShapeID="_x0000_i1025" DrawAspect="Content" ObjectID="_1585567483" r:id="rId99"/>
        </w:object>
      </w:r>
    </w:p>
    <w:p w:rsidR="00680242" w:rsidRPr="00AE35C1" w:rsidRDefault="00641928" w:rsidP="00AA1F74">
      <w:pPr>
        <w:pStyle w:val="Nagwek2"/>
      </w:pPr>
      <w:bookmarkStart w:id="67" w:name="_Toc511716332"/>
      <w:r w:rsidRPr="00AE35C1">
        <w:t>6</w:t>
      </w:r>
      <w:r w:rsidR="00680242" w:rsidRPr="00AE35C1">
        <w:t xml:space="preserve">.4 KOMPETENCJE PRAWNE </w:t>
      </w:r>
      <w:r w:rsidR="0000358F" w:rsidRPr="00AE35C1">
        <w:t xml:space="preserve">SAMORZĄDU </w:t>
      </w:r>
      <w:r w:rsidR="00680242" w:rsidRPr="00AE35C1">
        <w:t>WOJEWÓDZTWA DOLNOŚLĄSKIEGO</w:t>
      </w:r>
      <w:bookmarkEnd w:id="67"/>
    </w:p>
    <w:p w:rsidR="00151D37" w:rsidRPr="00AE35C1" w:rsidRDefault="00CA4476" w:rsidP="00A72E09">
      <w:pPr>
        <w:jc w:val="both"/>
      </w:pPr>
      <w:r w:rsidRPr="00AE35C1">
        <w:t>Podmiotem odpowiedzialnym za wdrażanie Strategii Rozwoju Województwa jest Samorząd Województwa, jednak nie wszystkie działania istotne dla rozw</w:t>
      </w:r>
      <w:r w:rsidR="00765292" w:rsidRPr="00AE35C1">
        <w:t>oju województwa zawierają się w </w:t>
      </w:r>
      <w:r w:rsidRPr="00AE35C1">
        <w:t xml:space="preserve">obszarze bezpośrednich kompetencji Samorządu Województwa, wojewódzkich samorządowych jednostek organizacyjnych, czy spółek z udziałem samorządu. Część działań </w:t>
      </w:r>
      <w:r w:rsidR="002E0272" w:rsidRPr="00AE35C1">
        <w:t>stanowi obszar pozostający poza obszarem kompetencyjnym Samorządu Województwa, w ramach którego regionalne władze samorządowe mogą pełnić rolę koordynatora, stymulatora, mediatora, bądź inicjatora/wnioskodawcy działań i inicjatyw prowadzonych na szczeblu lokalnym lub rządowym.</w:t>
      </w:r>
      <w:r w:rsidR="002E0272">
        <w:t xml:space="preserve"> </w:t>
      </w:r>
      <w:r w:rsidR="002E0272" w:rsidRPr="00AE35C1">
        <w:t>Trzeci zakres</w:t>
      </w:r>
      <w:r w:rsidR="002E0272">
        <w:t xml:space="preserve"> to obszar mieszanych kompetencji różnych podmiotów, wynikający</w:t>
      </w:r>
      <w:r w:rsidRPr="00AE35C1">
        <w:t xml:space="preserve"> z działań realizowanych w ramach zarządzanych przez </w:t>
      </w:r>
      <w:r w:rsidR="00857B47" w:rsidRPr="00AE35C1">
        <w:t>W</w:t>
      </w:r>
      <w:r w:rsidRPr="00AE35C1">
        <w:t xml:space="preserve">ojewództwo programów i projektów, jak również finansowej partycypacji. </w:t>
      </w:r>
    </w:p>
    <w:tbl>
      <w:tblPr>
        <w:tblW w:w="5000" w:type="pct"/>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shd w:val="clear" w:color="auto" w:fill="D9D9D9"/>
        <w:tblCellMar>
          <w:left w:w="70" w:type="dxa"/>
          <w:right w:w="70" w:type="dxa"/>
        </w:tblCellMar>
        <w:tblLook w:val="04A0"/>
      </w:tblPr>
      <w:tblGrid>
        <w:gridCol w:w="874"/>
        <w:gridCol w:w="3998"/>
        <w:gridCol w:w="1514"/>
        <w:gridCol w:w="1382"/>
        <w:gridCol w:w="1444"/>
      </w:tblGrid>
      <w:tr w:rsidR="00130E5F" w:rsidRPr="00AE35C1" w:rsidTr="00680744">
        <w:trPr>
          <w:trHeight w:val="1549"/>
          <w:tblHeader/>
        </w:trPr>
        <w:tc>
          <w:tcPr>
            <w:tcW w:w="2644" w:type="pct"/>
            <w:gridSpan w:val="2"/>
            <w:shd w:val="clear" w:color="auto" w:fill="D9D9D9"/>
            <w:vAlign w:val="center"/>
            <w:hideMark/>
          </w:tcPr>
          <w:p w:rsidR="00130E5F" w:rsidRPr="00AE35C1" w:rsidRDefault="00130E5F" w:rsidP="00130E5F">
            <w:pPr>
              <w:spacing w:after="0" w:line="240" w:lineRule="auto"/>
              <w:jc w:val="center"/>
              <w:rPr>
                <w:rFonts w:eastAsia="Times New Roman" w:cs="Calibri"/>
                <w:b/>
                <w:bCs/>
                <w:sz w:val="18"/>
                <w:szCs w:val="18"/>
                <w:lang w:eastAsia="pl-PL"/>
              </w:rPr>
            </w:pPr>
            <w:r w:rsidRPr="00AE35C1">
              <w:rPr>
                <w:rFonts w:eastAsia="Times New Roman" w:cs="Calibri"/>
                <w:b/>
                <w:bCs/>
                <w:sz w:val="18"/>
                <w:szCs w:val="18"/>
                <w:lang w:eastAsia="pl-PL"/>
              </w:rPr>
              <w:t>KIERUN</w:t>
            </w:r>
            <w:r w:rsidR="005D167F" w:rsidRPr="00AE35C1">
              <w:rPr>
                <w:rFonts w:eastAsia="Times New Roman" w:cs="Calibri"/>
                <w:b/>
                <w:bCs/>
                <w:sz w:val="18"/>
                <w:szCs w:val="18"/>
                <w:lang w:eastAsia="pl-PL"/>
              </w:rPr>
              <w:t>KI DZIAŁAŃ STRATEGICZNYCH</w:t>
            </w:r>
          </w:p>
        </w:tc>
        <w:tc>
          <w:tcPr>
            <w:tcW w:w="822" w:type="pct"/>
            <w:shd w:val="clear" w:color="auto" w:fill="D9D9D9"/>
            <w:vAlign w:val="center"/>
            <w:hideMark/>
          </w:tcPr>
          <w:p w:rsidR="00130E5F" w:rsidRPr="00AE35C1" w:rsidRDefault="00130E5F" w:rsidP="00130E5F">
            <w:pPr>
              <w:spacing w:after="0" w:line="240" w:lineRule="auto"/>
              <w:jc w:val="center"/>
              <w:rPr>
                <w:rFonts w:eastAsia="Times New Roman" w:cs="Calibri"/>
                <w:b/>
                <w:bCs/>
                <w:sz w:val="18"/>
                <w:szCs w:val="18"/>
                <w:lang w:eastAsia="pl-PL"/>
              </w:rPr>
            </w:pPr>
            <w:r w:rsidRPr="00AE35C1">
              <w:rPr>
                <w:rFonts w:eastAsia="Times New Roman" w:cs="Calibri"/>
                <w:b/>
                <w:bCs/>
                <w:sz w:val="18"/>
                <w:szCs w:val="18"/>
                <w:lang w:eastAsia="pl-PL"/>
              </w:rPr>
              <w:t>Obszar bezpośrednich kompetencji Samorządu Województwa Dolnośląskiego</w:t>
            </w:r>
          </w:p>
        </w:tc>
        <w:tc>
          <w:tcPr>
            <w:tcW w:w="750" w:type="pct"/>
            <w:shd w:val="clear" w:color="auto" w:fill="D9D9D9"/>
            <w:vAlign w:val="center"/>
            <w:hideMark/>
          </w:tcPr>
          <w:p w:rsidR="002E0272" w:rsidRPr="00AE35C1" w:rsidRDefault="002E0272" w:rsidP="006E6475">
            <w:pPr>
              <w:spacing w:after="0" w:line="240" w:lineRule="auto"/>
              <w:jc w:val="center"/>
              <w:rPr>
                <w:rFonts w:eastAsia="Times New Roman" w:cs="Calibri"/>
                <w:b/>
                <w:bCs/>
                <w:sz w:val="18"/>
                <w:szCs w:val="18"/>
                <w:lang w:eastAsia="pl-PL"/>
              </w:rPr>
            </w:pPr>
            <w:r w:rsidRPr="00AE35C1">
              <w:rPr>
                <w:rFonts w:eastAsia="Times New Roman" w:cs="Calibri"/>
                <w:b/>
                <w:bCs/>
                <w:sz w:val="18"/>
                <w:szCs w:val="18"/>
                <w:lang w:eastAsia="pl-PL"/>
              </w:rPr>
              <w:t>Obszar pozostający poza zakresem kompetencji Samorządu Województwa Dolnośląskiego</w:t>
            </w:r>
          </w:p>
        </w:tc>
        <w:tc>
          <w:tcPr>
            <w:tcW w:w="784" w:type="pct"/>
            <w:shd w:val="clear" w:color="auto" w:fill="D9D9D9"/>
            <w:vAlign w:val="center"/>
            <w:hideMark/>
          </w:tcPr>
          <w:p w:rsidR="00130E5F" w:rsidRPr="00AE35C1" w:rsidRDefault="002E0272" w:rsidP="006E6475">
            <w:pPr>
              <w:spacing w:after="0" w:line="240" w:lineRule="auto"/>
              <w:jc w:val="center"/>
              <w:rPr>
                <w:rFonts w:eastAsia="Times New Roman" w:cs="Calibri"/>
                <w:b/>
                <w:bCs/>
                <w:sz w:val="18"/>
                <w:szCs w:val="18"/>
                <w:lang w:eastAsia="pl-PL"/>
              </w:rPr>
            </w:pPr>
            <w:r w:rsidRPr="00AE35C1">
              <w:rPr>
                <w:rFonts w:eastAsia="Times New Roman" w:cs="Calibri"/>
                <w:b/>
                <w:bCs/>
                <w:sz w:val="18"/>
                <w:szCs w:val="18"/>
                <w:lang w:eastAsia="pl-PL"/>
              </w:rPr>
              <w:t xml:space="preserve">Obszar </w:t>
            </w:r>
            <w:r>
              <w:rPr>
                <w:rFonts w:eastAsia="Times New Roman" w:cs="Calibri"/>
                <w:b/>
                <w:bCs/>
                <w:sz w:val="18"/>
                <w:szCs w:val="18"/>
                <w:lang w:eastAsia="pl-PL"/>
              </w:rPr>
              <w:t>mieszanych kompetencji</w:t>
            </w:r>
            <w:r w:rsidRPr="00AE35C1">
              <w:rPr>
                <w:rFonts w:eastAsia="Times New Roman" w:cs="Calibri"/>
                <w:b/>
                <w:bCs/>
                <w:sz w:val="18"/>
                <w:szCs w:val="18"/>
                <w:lang w:eastAsia="pl-PL"/>
              </w:rPr>
              <w:t xml:space="preserve"> </w:t>
            </w:r>
            <w:r w:rsidR="00414E34">
              <w:rPr>
                <w:rFonts w:eastAsia="Times New Roman" w:cs="Calibri"/>
                <w:b/>
                <w:bCs/>
                <w:sz w:val="18"/>
                <w:szCs w:val="18"/>
                <w:lang w:eastAsia="pl-PL"/>
              </w:rPr>
              <w:t>różnych podmiotów</w:t>
            </w:r>
            <w:r w:rsidRPr="00AE35C1">
              <w:rPr>
                <w:rFonts w:eastAsia="Times New Roman" w:cs="Calibri"/>
                <w:b/>
                <w:bCs/>
                <w:sz w:val="18"/>
                <w:szCs w:val="18"/>
                <w:lang w:eastAsia="pl-PL"/>
              </w:rPr>
              <w:t xml:space="preserve"> </w:t>
            </w:r>
          </w:p>
        </w:tc>
      </w:tr>
      <w:tr w:rsidR="002E0272" w:rsidRPr="00AE35C1" w:rsidTr="00F77394">
        <w:trPr>
          <w:trHeight w:val="781"/>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1.1.1.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obszarów o trudnych warunkach rozwojowych, zagrożonych wystąpieniem strukturalnego bezrobocia oraz o niskim PKB.</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r w:rsidRPr="00AE35C1">
              <w:rPr>
                <w:rFonts w:eastAsia="Times New Roman" w:cs="Calibri"/>
                <w:color w:val="000000"/>
                <w:sz w:val="18"/>
                <w:szCs w:val="18"/>
                <w:lang w:eastAsia="pl-PL"/>
              </w:rPr>
              <w:t> </w:t>
            </w: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1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1.1.2.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Wzmocnienie gospodarcze ośrodków </w:t>
            </w:r>
            <w:r w:rsidR="00D14011">
              <w:rPr>
                <w:rFonts w:eastAsia="Times New Roman" w:cs="Calibri"/>
                <w:color w:val="000000"/>
                <w:sz w:val="18"/>
                <w:szCs w:val="18"/>
                <w:lang w:eastAsia="pl-PL"/>
              </w:rPr>
              <w:t xml:space="preserve">regionalnych i </w:t>
            </w:r>
            <w:proofErr w:type="spellStart"/>
            <w:r w:rsidRPr="005831A3">
              <w:rPr>
                <w:rFonts w:eastAsia="Times New Roman" w:cs="Calibri"/>
                <w:color w:val="000000"/>
                <w:sz w:val="18"/>
                <w:szCs w:val="18"/>
                <w:lang w:eastAsia="pl-PL"/>
              </w:rPr>
              <w:t>subregionalnych</w:t>
            </w:r>
            <w:proofErr w:type="spellEnd"/>
            <w:r w:rsidRPr="005831A3">
              <w:rPr>
                <w:rFonts w:eastAsia="Times New Roman" w:cs="Calibri"/>
                <w:color w:val="000000"/>
                <w:sz w:val="18"/>
                <w:szCs w:val="18"/>
                <w:lang w:eastAsia="pl-PL"/>
              </w:rPr>
              <w:t>.</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r w:rsidRPr="00AE35C1">
              <w:rPr>
                <w:rFonts w:eastAsia="Times New Roman" w:cs="Calibri"/>
                <w:color w:val="000000"/>
                <w:sz w:val="18"/>
                <w:szCs w:val="18"/>
                <w:lang w:eastAsia="pl-PL"/>
              </w:rPr>
              <w:t> </w:t>
            </w: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88"/>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1.1.3.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Wzmocnienie roli MŚP, w tym firm rzemieślniczych </w:t>
            </w:r>
            <w:r w:rsidRPr="005831A3">
              <w:rPr>
                <w:rFonts w:eastAsia="Times New Roman" w:cs="Calibri"/>
                <w:color w:val="000000"/>
                <w:sz w:val="18"/>
                <w:szCs w:val="18"/>
                <w:lang w:eastAsia="pl-PL"/>
              </w:rPr>
              <w:br/>
              <w:t>i rodzinnych w aktywizacji gospodarczej subregionów.</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r w:rsidRPr="00AE35C1">
              <w:rPr>
                <w:rFonts w:eastAsia="Times New Roman" w:cs="Calibri"/>
                <w:color w:val="000000"/>
                <w:sz w:val="18"/>
                <w:szCs w:val="18"/>
                <w:lang w:eastAsia="pl-PL"/>
              </w:rPr>
              <w:t> </w:t>
            </w: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lastRenderedPageBreak/>
              <w:t>1.1.4.</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Różnicowanie monokulturowości </w:t>
            </w:r>
            <w:r w:rsidR="00D14011">
              <w:rPr>
                <w:rFonts w:eastAsia="Times New Roman" w:cs="Calibri"/>
                <w:color w:val="000000"/>
                <w:sz w:val="18"/>
                <w:szCs w:val="18"/>
                <w:lang w:eastAsia="pl-PL"/>
              </w:rPr>
              <w:t xml:space="preserve">regionalnych i </w:t>
            </w:r>
            <w:proofErr w:type="spellStart"/>
            <w:r w:rsidRPr="005831A3">
              <w:rPr>
                <w:rFonts w:eastAsia="Times New Roman" w:cs="Calibri"/>
                <w:color w:val="000000"/>
                <w:sz w:val="18"/>
                <w:szCs w:val="18"/>
                <w:lang w:eastAsia="pl-PL"/>
              </w:rPr>
              <w:t>subregionalnych</w:t>
            </w:r>
            <w:proofErr w:type="spellEnd"/>
            <w:r w:rsidRPr="005831A3">
              <w:rPr>
                <w:rFonts w:eastAsia="Times New Roman" w:cs="Calibri"/>
                <w:color w:val="000000"/>
                <w:sz w:val="18"/>
                <w:szCs w:val="18"/>
                <w:lang w:eastAsia="pl-PL"/>
              </w:rPr>
              <w:t xml:space="preserve"> ośrodków gospodarczych.</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567"/>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1.1.5.</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Rozwój lokalnych rynków żywności i wzrost konkurencyjności sektora rolno – spożywczego m.in. w oparciu o żywność wysokiej jakości.</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77"/>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1.1.6.</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Promowanie regionu jako atrakcyjnego miejsca dla turystyki i wypoczynku.</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99"/>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1.2.1.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Promocja gospodarcza, wspieranie przedsiębiorczości i rozwój usług otoczenia biznesu.</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1.2.2.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Rozwój sieci powiązań gospodarczych, w tym inicjatyw klastrowych.</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12"/>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1.2.3.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Wsparcie internacjonalizacji przedsiębiorstw.</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74"/>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1.2.4.</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Wzmocnienie marki produktów regionalnych.</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F2F2F2" w:themeFill="background1" w:themeFillShade="F2"/>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74"/>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1.2.5.</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color w:val="000000"/>
                <w:sz w:val="18"/>
                <w:szCs w:val="18"/>
              </w:rPr>
              <w:t>Wzmocnienie wrocławskiego ośrodka naukowego</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78"/>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1.3.1.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Rozwój specjalizacji regionalnych i </w:t>
            </w:r>
            <w:proofErr w:type="spellStart"/>
            <w:r w:rsidRPr="005831A3">
              <w:rPr>
                <w:rFonts w:eastAsia="Times New Roman" w:cs="Calibri"/>
                <w:color w:val="000000"/>
                <w:sz w:val="18"/>
                <w:szCs w:val="18"/>
                <w:lang w:eastAsia="pl-PL"/>
              </w:rPr>
              <w:t>subregionalnych</w:t>
            </w:r>
            <w:proofErr w:type="spellEnd"/>
            <w:r w:rsidRPr="005831A3">
              <w:rPr>
                <w:rFonts w:eastAsia="Times New Roman" w:cs="Calibri"/>
                <w:color w:val="000000"/>
                <w:sz w:val="18"/>
                <w:szCs w:val="18"/>
                <w:lang w:eastAsia="pl-PL"/>
              </w:rPr>
              <w:t>, w tym inteligentnych specjalizacji.</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668"/>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1.3.2.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Wsparcie dla inteligentnej reindustrializacji – cyfryzacji i zaawansowanej automatyzacji procesów technologicznych i zarządczych w przedsiębiorstwach </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1.3.3.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Stymulowanie współpracy biznesu i nauki.</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567"/>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1.3.4.</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Rozwój usług proinnowacyjnych oraz kreowanie </w:t>
            </w:r>
            <w:r w:rsidR="00414E34">
              <w:rPr>
                <w:rFonts w:eastAsia="Times New Roman" w:cs="Calibri"/>
                <w:color w:val="000000"/>
                <w:sz w:val="18"/>
                <w:szCs w:val="18"/>
                <w:lang w:eastAsia="pl-PL"/>
              </w:rPr>
              <w:br/>
            </w:r>
            <w:r w:rsidRPr="005831A3">
              <w:rPr>
                <w:rFonts w:eastAsia="Times New Roman" w:cs="Calibri"/>
                <w:color w:val="000000"/>
                <w:sz w:val="18"/>
                <w:szCs w:val="18"/>
                <w:lang w:eastAsia="pl-PL"/>
              </w:rPr>
              <w:t>i wspieranie regionalnych ośrodków innowacyjności.</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21"/>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1.3.5.</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Wzmacnianie regionalnego systemu wsparcia finansowego dla przedsięwzięć innowacyjnych.</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535"/>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1.3.6.</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Tworzenie warunków do współpracy badawczo - rozwojowej o zasięgu międzynarodowym.</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76"/>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1.4.1.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Zrównoważony rozwój miejskich obszarów funkcjonalnych.</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144"/>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1.4.2.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Rewitalizacja zdegradowanych obszarów wiejskich.</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22"/>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1.4.3.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Rewitalizacja zdegradowanych obszarów miejskich.</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534"/>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1.4.4.</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działań na rzecz rewitalizacji zabytkowych zespołów urbanistycznych i najcenniejszych obiektów architektury.</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571"/>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1.4.5.</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Programowanie i realizacja prac urządzeniowo-rolnych, działania na rzecz scalania gruntów rolnych oraz melioracji.</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553"/>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2.1.1.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działań zwiększających dostępność do źródeł wody oraz infrastruktury odprowadzania i oczyszczania ścieków.</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733"/>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2.1.2.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i rozwój sieciowych systemów energetycznych oraz eliminowanie zagrożeń powodowanych przez ekstremalne zjawiska atmosferyczne.</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2.1.3.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działań w zakresie efektywnej gospodarki odpadami.</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4"/>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2.2.1.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inwestycji w infrastrukturę sportowo-rekreacyjną.</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72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lastRenderedPageBreak/>
              <w:t>2.2.2.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Zapewnienie opieki dziennej oraz edukacji dzieciom poprzez wsparcie budowy/ rozbudowy żłobków </w:t>
            </w:r>
            <w:r w:rsidRPr="005831A3">
              <w:rPr>
                <w:rFonts w:eastAsia="Times New Roman" w:cs="Calibri"/>
                <w:color w:val="000000"/>
                <w:sz w:val="18"/>
                <w:szCs w:val="18"/>
                <w:lang w:eastAsia="pl-PL"/>
              </w:rPr>
              <w:br/>
              <w:t>i przedszkoli.</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r w:rsidRPr="00AE35C1">
              <w:rPr>
                <w:rFonts w:eastAsia="Times New Roman" w:cs="Calibri"/>
                <w:color w:val="000000"/>
                <w:sz w:val="18"/>
                <w:szCs w:val="18"/>
                <w:lang w:eastAsia="pl-PL"/>
              </w:rPr>
              <w:t> </w:t>
            </w: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685"/>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2.2.3.</w:t>
            </w:r>
          </w:p>
        </w:tc>
        <w:tc>
          <w:tcPr>
            <w:tcW w:w="2170" w:type="pct"/>
            <w:shd w:val="clear" w:color="auto" w:fill="D9D9D9"/>
            <w:vAlign w:val="center"/>
            <w:hideMark/>
          </w:tcPr>
          <w:p w:rsidR="002E0272" w:rsidRPr="005831A3" w:rsidRDefault="002E0272" w:rsidP="00316F3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Rozwój i dostosowanie infrastruktury </w:t>
            </w:r>
            <w:r w:rsidR="00316F3F">
              <w:rPr>
                <w:rFonts w:eastAsia="Times New Roman" w:cs="Calibri"/>
                <w:color w:val="000000"/>
                <w:sz w:val="18"/>
                <w:szCs w:val="18"/>
                <w:lang w:eastAsia="pl-PL"/>
              </w:rPr>
              <w:t xml:space="preserve">publicznej </w:t>
            </w:r>
            <w:r w:rsidRPr="005831A3">
              <w:rPr>
                <w:rFonts w:eastAsia="Times New Roman" w:cs="Calibri"/>
                <w:color w:val="000000"/>
                <w:sz w:val="18"/>
                <w:szCs w:val="18"/>
                <w:lang w:eastAsia="pl-PL"/>
              </w:rPr>
              <w:t xml:space="preserve">do uwarunkowań społeczno-demograficznych, </w:t>
            </w:r>
            <w:r w:rsidRPr="005831A3">
              <w:rPr>
                <w:rFonts w:eastAsia="Times New Roman" w:cs="Calibri"/>
                <w:color w:val="000000"/>
                <w:sz w:val="18"/>
                <w:szCs w:val="18"/>
                <w:lang w:eastAsia="pl-PL"/>
              </w:rPr>
              <w:br/>
              <w:t xml:space="preserve">w szczególności do potrzeb osób </w:t>
            </w:r>
            <w:r w:rsidRPr="005831A3">
              <w:rPr>
                <w:rFonts w:eastAsia="Times New Roman" w:cs="Calibri"/>
                <w:color w:val="000000"/>
                <w:sz w:val="18"/>
                <w:szCs w:val="18"/>
                <w:lang w:eastAsia="pl-PL"/>
              </w:rPr>
              <w:br/>
              <w:t>z niepełnosprawnościami, słabszych i starszych.</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2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2.3.1.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Podejmowanie działań w celu podniesienia poziomu bezpieczeństwa osobistego i publicznego.</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77"/>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2.3.2.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Podejmowanie działań służących poprawie sprawności obsługi społeczeństwa przez instytucje administracji publicznej, w tym e-usług publicznych.</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708"/>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2.3.3.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Podejmowanie działań dla poprawy dostępności </w:t>
            </w:r>
            <w:r w:rsidRPr="005831A3">
              <w:rPr>
                <w:rFonts w:eastAsia="Times New Roman" w:cs="Calibri"/>
                <w:color w:val="000000"/>
                <w:sz w:val="18"/>
                <w:szCs w:val="18"/>
                <w:lang w:eastAsia="pl-PL"/>
              </w:rPr>
              <w:br/>
              <w:t>i podniesienia jakości świadczeń zdrowotnych oraz na rzecz ograniczenia zachorowalności mieszkańców regionu.</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83"/>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2.3.4.</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Podejmowanie działań na rzecz upowszechniania </w:t>
            </w:r>
            <w:r w:rsidRPr="005831A3">
              <w:rPr>
                <w:rFonts w:eastAsia="Times New Roman" w:cs="Calibri"/>
                <w:color w:val="000000"/>
                <w:sz w:val="18"/>
                <w:szCs w:val="18"/>
                <w:lang w:eastAsia="pl-PL"/>
              </w:rPr>
              <w:br/>
              <w:t>i poprawy dostępności do kultury.</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61"/>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2.3.5.</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Zwiększenie dostępności do usług publicznych wyższego rzędu w ośrodkach ponadlokalnych.</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43"/>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2.3.6. </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Podejmowanie działań służących poprawie jakości usług publicznego transportu zbiorowego.</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3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2.3.7.</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Współpraca jednostek samorządu terytorialnego dla efektywnej realizacji usług publicznych.</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7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3.1.1. </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Wielodziedzinowy regionalny budżet obywatelski.</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4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3.1.2.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Popularyzacja wiedzy o regionie i wzmocnienie tożsamości jego mieszkańców.</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4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3.1.3.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Podnoszenie kompetencji interkulturowych</w:t>
            </w:r>
            <w:r w:rsidR="00C31B36">
              <w:rPr>
                <w:rFonts w:eastAsia="Times New Roman" w:cs="Calibri"/>
                <w:color w:val="000000"/>
                <w:sz w:val="18"/>
                <w:szCs w:val="18"/>
                <w:lang w:eastAsia="pl-PL"/>
              </w:rPr>
              <w:t>.</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3.2.1.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Rozwój infrastruktury służącej integracji społecznej </w:t>
            </w:r>
            <w:r w:rsidRPr="005831A3">
              <w:rPr>
                <w:rFonts w:eastAsia="Times New Roman" w:cs="Calibri"/>
                <w:color w:val="000000"/>
                <w:sz w:val="18"/>
                <w:szCs w:val="18"/>
                <w:lang w:eastAsia="pl-PL"/>
              </w:rPr>
              <w:br/>
              <w:t>i zawodowej.</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82"/>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3.2.2. </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Wsparcie działań na rzecz osób wykluczonych lub zagrożonych wykluczeniem społecznym.</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68"/>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3.2.3.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Podejmowanie działań na rzecz zwiększenia udziału </w:t>
            </w:r>
            <w:r w:rsidRPr="005831A3">
              <w:rPr>
                <w:rFonts w:eastAsia="Times New Roman" w:cs="Calibri"/>
                <w:color w:val="000000"/>
                <w:sz w:val="18"/>
                <w:szCs w:val="18"/>
                <w:lang w:eastAsia="pl-PL"/>
              </w:rPr>
              <w:br/>
              <w:t>i roli kobiet na rynku pracy oraz w życiu publicznym.</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3.2.4.</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Wsparcie działań na rzecz rozwijania sieci mieszkań chronionych i wspomaganych.</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85"/>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3.2.5.</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ekonomii społecznej.</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547"/>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3.3.1.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Kształtowanie i rozwój usług edukacyjnych </w:t>
            </w:r>
            <w:r w:rsidRPr="005831A3">
              <w:rPr>
                <w:rFonts w:eastAsia="Times New Roman" w:cs="Calibri"/>
                <w:color w:val="000000"/>
                <w:sz w:val="18"/>
                <w:szCs w:val="18"/>
                <w:lang w:eastAsia="pl-PL"/>
              </w:rPr>
              <w:br/>
              <w:t>i społecznych ukierunkowanych na wzmocnienie rynków pracy.</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3.3.2.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i pobudzanie aktywności zawodowej mieszkańców regionu.</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3.4.1.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Wsparcie innowacyjnych metod kształcenia dzieci </w:t>
            </w:r>
            <w:r w:rsidRPr="005831A3">
              <w:rPr>
                <w:rFonts w:eastAsia="Times New Roman" w:cs="Calibri"/>
                <w:color w:val="000000"/>
                <w:sz w:val="18"/>
                <w:szCs w:val="18"/>
                <w:lang w:eastAsia="pl-PL"/>
              </w:rPr>
              <w:br/>
              <w:t>i młodzieży.</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6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3.4.2.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Działania na rzecz podniesienia jakości oraz atrakcyjności szkolnictwa zawodowego.</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3.4.3.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Rozwój systemu wspierania uczniów z dysfunkcjami </w:t>
            </w:r>
            <w:r w:rsidRPr="005831A3">
              <w:rPr>
                <w:rFonts w:eastAsia="Times New Roman" w:cs="Calibri"/>
                <w:color w:val="000000"/>
                <w:sz w:val="18"/>
                <w:szCs w:val="18"/>
                <w:lang w:eastAsia="pl-PL"/>
              </w:rPr>
              <w:br/>
              <w:t xml:space="preserve">i z </w:t>
            </w:r>
            <w:r w:rsidR="00C31B36">
              <w:rPr>
                <w:rFonts w:eastAsia="Times New Roman" w:cs="Calibri"/>
                <w:color w:val="000000"/>
                <w:sz w:val="18"/>
                <w:szCs w:val="18"/>
                <w:lang w:eastAsia="pl-PL"/>
              </w:rPr>
              <w:t>niepełno sprawnościami.</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7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3.4.4.</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Wspieranie działań na rzecz rozwoju umiejętności </w:t>
            </w:r>
            <w:r w:rsidRPr="005831A3">
              <w:rPr>
                <w:rFonts w:eastAsia="Times New Roman" w:cs="Calibri"/>
                <w:color w:val="000000"/>
                <w:sz w:val="18"/>
                <w:szCs w:val="18"/>
                <w:lang w:eastAsia="pl-PL"/>
              </w:rPr>
              <w:br/>
              <w:t>i postaw kreatywnych i przedsiębiorczych</w:t>
            </w:r>
            <w:r w:rsidR="00316F3F">
              <w:rPr>
                <w:rFonts w:eastAsia="Times New Roman" w:cs="Calibri"/>
                <w:color w:val="000000"/>
                <w:sz w:val="18"/>
                <w:szCs w:val="18"/>
                <w:lang w:eastAsia="pl-PL"/>
              </w:rPr>
              <w:t xml:space="preserve"> ze szczególnym uwzględnieniem uczniów </w:t>
            </w:r>
            <w:r w:rsidR="00316F3F">
              <w:rPr>
                <w:rFonts w:eastAsia="Times New Roman" w:cs="Calibri"/>
                <w:color w:val="000000"/>
                <w:sz w:val="18"/>
                <w:szCs w:val="18"/>
                <w:lang w:eastAsia="pl-PL"/>
              </w:rPr>
              <w:lastRenderedPageBreak/>
              <w:t>uzdolnionych</w:t>
            </w:r>
            <w:r w:rsidRPr="005831A3">
              <w:rPr>
                <w:rFonts w:eastAsia="Times New Roman" w:cs="Calibri"/>
                <w:color w:val="000000"/>
                <w:sz w:val="18"/>
                <w:szCs w:val="18"/>
                <w:lang w:eastAsia="pl-PL"/>
              </w:rPr>
              <w:t>.</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14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lastRenderedPageBreak/>
              <w:t>3.5.1.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systemu aktywizacji osób starszych.</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1"/>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3.5.2.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Realizowanie działań z zakresu rehabilitacji społecznej i zawodowej osób </w:t>
            </w:r>
            <w:r w:rsidR="00414E34">
              <w:rPr>
                <w:rFonts w:eastAsia="Times New Roman" w:cs="Calibri"/>
                <w:color w:val="000000"/>
                <w:sz w:val="18"/>
                <w:szCs w:val="18"/>
                <w:lang w:eastAsia="pl-PL"/>
              </w:rPr>
              <w:br/>
            </w:r>
            <w:r w:rsidRPr="005831A3">
              <w:rPr>
                <w:rFonts w:eastAsia="Times New Roman" w:cs="Calibri"/>
                <w:color w:val="000000"/>
                <w:sz w:val="18"/>
                <w:szCs w:val="18"/>
                <w:lang w:eastAsia="pl-PL"/>
              </w:rPr>
              <w:t>z niepełnosprawnościami.</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49"/>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3.6.1.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przedsięwzięć sportowych w regionie oraz promowanie upowszechniania kultury fizycznej.</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162"/>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3.6.2.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Działania na rzecz rozwoju edukacji kultury fizycznej.</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3.6.3.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działań na rzecz kształtowania postaw prozdrowotnych.</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1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4.1.1.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Działania w zakresie zwalczania źródeł niskiej emisji, szczególnie w uzdrowiskach.</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87"/>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4.1.2.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edukacji ekologicznej w oparciu o zasoby lokalne (infrastrukturalne, przyrodnicze i kulturowe).</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4.1.3.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Rekultywacja i zagospodarowanie terenów poprzemysłowych i </w:t>
            </w:r>
            <w:proofErr w:type="spellStart"/>
            <w:r w:rsidRPr="005831A3">
              <w:rPr>
                <w:rFonts w:eastAsia="Times New Roman" w:cs="Calibri"/>
                <w:color w:val="000000"/>
                <w:sz w:val="18"/>
                <w:szCs w:val="18"/>
                <w:lang w:eastAsia="pl-PL"/>
              </w:rPr>
              <w:t>powydobywczych</w:t>
            </w:r>
            <w:proofErr w:type="spellEnd"/>
            <w:r w:rsidRPr="005831A3">
              <w:rPr>
                <w:rFonts w:eastAsia="Times New Roman" w:cs="Calibri"/>
                <w:color w:val="000000"/>
                <w:sz w:val="18"/>
                <w:szCs w:val="18"/>
                <w:lang w:eastAsia="pl-PL"/>
              </w:rPr>
              <w:t>.</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4.2.1.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Zachowanie i racjonalne wykorzystanie zasobów glebowych i leśnych.</w:t>
            </w:r>
          </w:p>
        </w:tc>
        <w:tc>
          <w:tcPr>
            <w:tcW w:w="822" w:type="pct"/>
            <w:shd w:val="clear" w:color="auto" w:fill="F2F2F2" w:themeFill="background1" w:themeFillShade="F2"/>
            <w:noWrap/>
            <w:vAlign w:val="center"/>
            <w:hideMark/>
          </w:tcPr>
          <w:p w:rsidR="002E0272" w:rsidRPr="00AE35C1" w:rsidRDefault="002E0272" w:rsidP="00130E5F">
            <w:pPr>
              <w:spacing w:after="0" w:line="240" w:lineRule="auto"/>
              <w:jc w:val="center"/>
              <w:rPr>
                <w:rFonts w:eastAsia="Times New Roman" w:cs="Calibri"/>
                <w:sz w:val="18"/>
                <w:szCs w:val="18"/>
                <w:lang w:eastAsia="pl-PL"/>
              </w:rPr>
            </w:pPr>
          </w:p>
        </w:tc>
        <w:tc>
          <w:tcPr>
            <w:tcW w:w="750" w:type="pct"/>
            <w:shd w:val="clear" w:color="auto" w:fill="F2F2F2" w:themeFill="background1" w:themeFillShade="F2"/>
            <w:noWrap/>
            <w:vAlign w:val="center"/>
            <w:hideMark/>
          </w:tcPr>
          <w:p w:rsidR="002E0272" w:rsidRPr="00AE35C1" w:rsidRDefault="002E0272" w:rsidP="00130E5F">
            <w:pPr>
              <w:spacing w:after="0" w:line="240" w:lineRule="auto"/>
              <w:jc w:val="center"/>
              <w:rPr>
                <w:rFonts w:eastAsia="Times New Roman" w:cs="Calibri"/>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sz w:val="18"/>
                <w:szCs w:val="18"/>
                <w:lang w:eastAsia="pl-PL"/>
              </w:rPr>
            </w:pPr>
          </w:p>
        </w:tc>
      </w:tr>
      <w:tr w:rsidR="002E0272" w:rsidRPr="00AE35C1" w:rsidTr="00F77394">
        <w:trPr>
          <w:trHeight w:val="43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4.2.2.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Wspieranie racjonalnej gospodarki zasobami wód termalnych i leczniczych w regionie.</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4.2.3.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Prowadzenie działań na rzecz efektywnej ochrony wartości krajobrazu.</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4.2.4.</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Wzmocnienie potencjału uzdrowiskowego </w:t>
            </w:r>
            <w:r w:rsidRPr="005831A3">
              <w:rPr>
                <w:rFonts w:eastAsia="Times New Roman" w:cs="Calibri"/>
                <w:color w:val="000000"/>
                <w:sz w:val="18"/>
                <w:szCs w:val="18"/>
                <w:lang w:eastAsia="pl-PL"/>
              </w:rPr>
              <w:br/>
              <w:t>i turystycznego.</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316F3F" w:rsidRPr="00AE35C1" w:rsidTr="00F77394">
        <w:trPr>
          <w:trHeight w:val="480"/>
        </w:trPr>
        <w:tc>
          <w:tcPr>
            <w:tcW w:w="474" w:type="pct"/>
            <w:shd w:val="clear" w:color="auto" w:fill="D9D9D9"/>
            <w:vAlign w:val="center"/>
          </w:tcPr>
          <w:p w:rsidR="00316F3F" w:rsidRPr="00AE35C1" w:rsidRDefault="005D0C71" w:rsidP="00130E5F">
            <w:pPr>
              <w:spacing w:after="0" w:line="240" w:lineRule="auto"/>
              <w:jc w:val="center"/>
              <w:rPr>
                <w:rFonts w:eastAsia="Times New Roman" w:cs="Calibri"/>
                <w:b/>
                <w:color w:val="000000"/>
                <w:sz w:val="18"/>
                <w:szCs w:val="18"/>
                <w:lang w:eastAsia="pl-PL"/>
              </w:rPr>
            </w:pPr>
            <w:r>
              <w:rPr>
                <w:rFonts w:eastAsia="Times New Roman" w:cs="Calibri"/>
                <w:b/>
                <w:color w:val="000000"/>
                <w:sz w:val="18"/>
                <w:szCs w:val="18"/>
                <w:lang w:eastAsia="pl-PL"/>
              </w:rPr>
              <w:t>4.2.5.</w:t>
            </w:r>
          </w:p>
        </w:tc>
        <w:tc>
          <w:tcPr>
            <w:tcW w:w="2170" w:type="pct"/>
            <w:shd w:val="clear" w:color="auto" w:fill="D9D9D9"/>
            <w:vAlign w:val="center"/>
          </w:tcPr>
          <w:p w:rsidR="00316F3F" w:rsidRPr="005831A3" w:rsidRDefault="005D0C71" w:rsidP="00130E5F">
            <w:pPr>
              <w:spacing w:after="0" w:line="240" w:lineRule="auto"/>
              <w:rPr>
                <w:rFonts w:eastAsia="Times New Roman" w:cs="Calibri"/>
                <w:color w:val="000000"/>
                <w:sz w:val="18"/>
                <w:szCs w:val="18"/>
                <w:lang w:eastAsia="pl-PL"/>
              </w:rPr>
            </w:pPr>
            <w:r>
              <w:rPr>
                <w:rFonts w:eastAsia="Times New Roman" w:cs="Calibri"/>
                <w:color w:val="000000"/>
                <w:sz w:val="18"/>
                <w:szCs w:val="18"/>
                <w:lang w:eastAsia="pl-PL"/>
              </w:rPr>
              <w:t>Wspieranie działań na rzecz racjonalnej gospodarki zasobami wód powierzchniowych i podziemnych, w tym zapewnienia odpowiedniej jakości wód.</w:t>
            </w:r>
          </w:p>
        </w:tc>
        <w:tc>
          <w:tcPr>
            <w:tcW w:w="822" w:type="pct"/>
            <w:shd w:val="clear" w:color="auto" w:fill="F2F2F2"/>
            <w:noWrap/>
            <w:vAlign w:val="center"/>
          </w:tcPr>
          <w:p w:rsidR="00316F3F" w:rsidRPr="00AE35C1" w:rsidRDefault="00316F3F"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tcPr>
          <w:p w:rsidR="00316F3F" w:rsidRPr="00AE35C1" w:rsidRDefault="00316F3F"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tcPr>
          <w:p w:rsidR="00316F3F" w:rsidRPr="00AE35C1" w:rsidRDefault="00316F3F" w:rsidP="002C784B">
            <w:pPr>
              <w:spacing w:after="0" w:line="240" w:lineRule="auto"/>
              <w:jc w:val="center"/>
              <w:rPr>
                <w:rFonts w:eastAsia="Times New Roman" w:cs="Calibri"/>
                <w:color w:val="000000"/>
                <w:sz w:val="18"/>
                <w:szCs w:val="18"/>
                <w:lang w:eastAsia="pl-PL"/>
              </w:rPr>
            </w:pPr>
          </w:p>
        </w:tc>
      </w:tr>
      <w:tr w:rsidR="005D0C71" w:rsidRPr="00AE35C1" w:rsidTr="00F77394">
        <w:trPr>
          <w:trHeight w:val="480"/>
        </w:trPr>
        <w:tc>
          <w:tcPr>
            <w:tcW w:w="474" w:type="pct"/>
            <w:shd w:val="clear" w:color="auto" w:fill="D9D9D9"/>
            <w:vAlign w:val="center"/>
          </w:tcPr>
          <w:p w:rsidR="005D0C71" w:rsidRPr="00AE35C1" w:rsidRDefault="005D0C71" w:rsidP="00130E5F">
            <w:pPr>
              <w:spacing w:after="0" w:line="240" w:lineRule="auto"/>
              <w:jc w:val="center"/>
              <w:rPr>
                <w:rFonts w:eastAsia="Times New Roman" w:cs="Calibri"/>
                <w:b/>
                <w:color w:val="000000"/>
                <w:sz w:val="18"/>
                <w:szCs w:val="18"/>
                <w:lang w:eastAsia="pl-PL"/>
              </w:rPr>
            </w:pPr>
            <w:r>
              <w:rPr>
                <w:rFonts w:eastAsia="Times New Roman" w:cs="Calibri"/>
                <w:b/>
                <w:color w:val="000000"/>
                <w:sz w:val="18"/>
                <w:szCs w:val="18"/>
                <w:lang w:eastAsia="pl-PL"/>
              </w:rPr>
              <w:t>4.2.6.</w:t>
            </w:r>
          </w:p>
        </w:tc>
        <w:tc>
          <w:tcPr>
            <w:tcW w:w="2170" w:type="pct"/>
            <w:shd w:val="clear" w:color="auto" w:fill="D9D9D9"/>
            <w:vAlign w:val="center"/>
          </w:tcPr>
          <w:p w:rsidR="005D0C71" w:rsidRPr="005831A3" w:rsidRDefault="005D0C71" w:rsidP="00130E5F">
            <w:pPr>
              <w:spacing w:after="0" w:line="240" w:lineRule="auto"/>
              <w:rPr>
                <w:rFonts w:eastAsia="Times New Roman" w:cs="Calibri"/>
                <w:color w:val="000000"/>
                <w:sz w:val="18"/>
                <w:szCs w:val="18"/>
                <w:lang w:eastAsia="pl-PL"/>
              </w:rPr>
            </w:pPr>
            <w:r>
              <w:rPr>
                <w:rFonts w:eastAsia="Times New Roman" w:cs="Calibri"/>
                <w:color w:val="000000"/>
                <w:sz w:val="18"/>
                <w:szCs w:val="18"/>
                <w:lang w:eastAsia="pl-PL"/>
              </w:rPr>
              <w:t>Prowadzenie działań na rzecz racjonalnego wykorzystania i ochrony złóż kopalin.</w:t>
            </w:r>
          </w:p>
        </w:tc>
        <w:tc>
          <w:tcPr>
            <w:tcW w:w="822" w:type="pct"/>
            <w:shd w:val="clear" w:color="auto" w:fill="F2F2F2"/>
            <w:noWrap/>
            <w:vAlign w:val="center"/>
          </w:tcPr>
          <w:p w:rsidR="005D0C71" w:rsidRPr="00AE35C1" w:rsidRDefault="005D0C71"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tcPr>
          <w:p w:rsidR="005D0C71" w:rsidRPr="00AE35C1" w:rsidRDefault="005D0C71"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tcPr>
          <w:p w:rsidR="005D0C71" w:rsidRPr="00AE35C1" w:rsidRDefault="005D0C71"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57"/>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4.3.1.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Wspieranie rozwoju systemu małej retencji wodnej w regionie (poprawa stanu technicznego </w:t>
            </w:r>
            <w:r w:rsidRPr="005831A3">
              <w:rPr>
                <w:rFonts w:eastAsia="Times New Roman" w:cs="Calibri"/>
                <w:color w:val="000000"/>
                <w:sz w:val="18"/>
                <w:szCs w:val="18"/>
                <w:lang w:eastAsia="pl-PL"/>
              </w:rPr>
              <w:br/>
              <w:t>i skuteczności zbiorników małej retencji).</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themeFill="background1" w:themeFillShade="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567"/>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4.3.2.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Realizacja działań służących minimalizacji zagrożeń wynikających z ekstremalnych zjawisk atmosferycznych i awarii przemysłowych.</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53"/>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4.3.3.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Właściwe zagospodarowanie przestrzenne terenów zagrożonych zjawiskami przyrodniczymi, w tym powodziami i suszami.</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48"/>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4.3.4.</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Doskonalenie metod szkolenia służb i innych podmiotów ratowniczych oraz poprawa ich wyposażenia w sprzęt ratowniczy.</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1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4.4.1.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Wsparcie rozwoju energetyki  konwencjonalnej </w:t>
            </w:r>
            <w:r w:rsidRPr="005831A3">
              <w:rPr>
                <w:rFonts w:eastAsia="Times New Roman" w:cs="Calibri"/>
                <w:color w:val="000000"/>
                <w:sz w:val="18"/>
                <w:szCs w:val="18"/>
                <w:lang w:eastAsia="pl-PL"/>
              </w:rPr>
              <w:br/>
              <w:t>i rozproszonej.</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615"/>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4.4.2.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Stymulowanie prac badawczych i wdrożeniowych związanych z produkcją energii ze źródeł odnawialnych.</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22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4.4.3.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Podejmowanie działań na rzecz oszczędności zużycia energii oraz poprawy efektywności jej wykorzystania.</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43"/>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4.5.1.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Wsparcie przedsięwzięć służących rozwojowi kultury i dziedzictwa kulturowego w regionie.</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326"/>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lastRenderedPageBreak/>
              <w:t>4.5.2.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Wspieranie </w:t>
            </w:r>
            <w:r w:rsidR="005D0C71">
              <w:rPr>
                <w:rFonts w:eastAsia="Times New Roman" w:cs="Calibri"/>
                <w:color w:val="000000"/>
                <w:sz w:val="18"/>
                <w:szCs w:val="18"/>
                <w:lang w:eastAsia="pl-PL"/>
              </w:rPr>
              <w:t xml:space="preserve">i udostępnianie </w:t>
            </w:r>
            <w:r w:rsidRPr="005831A3">
              <w:rPr>
                <w:rFonts w:eastAsia="Times New Roman" w:cs="Calibri"/>
                <w:color w:val="000000"/>
                <w:sz w:val="18"/>
                <w:szCs w:val="18"/>
                <w:lang w:eastAsia="pl-PL"/>
              </w:rPr>
              <w:t>zintegrowanych działań służących ochronie dziedzictwa kulturowego i jego promocji.</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592"/>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4.6.1.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Wsparcie przedsięwzięć na rzecz zmniejszenia zużycia surowców oraz ograniczenia wytwarzania odpadów w procesach produkcyjnych.</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8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4.6.2.</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Wsparcie projektów wykorzystujących rynek surowców wtórnych i „re-manufacturing”.</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491"/>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4.6.3.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Rozwój modeli biznesowych wspierających rozbudowane systemy serwisowania i napraw produktów.</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72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4.6.4.</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Edukacja społeczna na rzecz gospodarki o obiegu zamkniętym (kampanie społeczne, kampanie świadomościowe).</w:t>
            </w:r>
          </w:p>
        </w:tc>
        <w:tc>
          <w:tcPr>
            <w:tcW w:w="822" w:type="pct"/>
            <w:shd w:val="clear" w:color="auto" w:fill="BEEAFA"/>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86"/>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5.1.1.</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Modernizacja dróg i linii kolejowych na terenie województwa, ze szczególnym uwzględnieniem problematyki transportu ciężkiego.</w:t>
            </w:r>
          </w:p>
        </w:tc>
        <w:tc>
          <w:tcPr>
            <w:tcW w:w="822" w:type="pct"/>
            <w:shd w:val="clear" w:color="auto" w:fill="F2F2F2" w:themeFill="background1" w:themeFillShade="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themeFill="background1" w:themeFillShade="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70"/>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5.1.2. </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Budowa obwodnic miejscowości.</w:t>
            </w:r>
          </w:p>
        </w:tc>
        <w:tc>
          <w:tcPr>
            <w:tcW w:w="822" w:type="pct"/>
            <w:shd w:val="clear" w:color="auto" w:fill="F2F2F2" w:themeFill="background1" w:themeFillShade="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themeFill="background1" w:themeFillShade="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2E0272" w:rsidRPr="00AE35C1" w:rsidTr="00F77394">
        <w:trPr>
          <w:trHeight w:val="731"/>
        </w:trPr>
        <w:tc>
          <w:tcPr>
            <w:tcW w:w="474" w:type="pct"/>
            <w:shd w:val="clear" w:color="auto" w:fill="D9D9D9"/>
            <w:vAlign w:val="center"/>
            <w:hideMark/>
          </w:tcPr>
          <w:p w:rsidR="002E0272" w:rsidRPr="00AE35C1" w:rsidRDefault="002E0272"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5.1.3.</w:t>
            </w:r>
          </w:p>
        </w:tc>
        <w:tc>
          <w:tcPr>
            <w:tcW w:w="2170" w:type="pct"/>
            <w:shd w:val="clear" w:color="auto" w:fill="D9D9D9"/>
            <w:vAlign w:val="center"/>
            <w:hideMark/>
          </w:tcPr>
          <w:p w:rsidR="002E0272" w:rsidRPr="005831A3" w:rsidRDefault="002E0272"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Rozwój i budowa systemów kolei aglomeracyjnej </w:t>
            </w:r>
            <w:r w:rsidRPr="005831A3">
              <w:rPr>
                <w:rFonts w:eastAsia="Times New Roman" w:cs="Calibri"/>
                <w:color w:val="000000"/>
                <w:sz w:val="18"/>
                <w:szCs w:val="18"/>
                <w:lang w:eastAsia="pl-PL"/>
              </w:rPr>
              <w:br/>
              <w:t xml:space="preserve">w obrębie miast o znaczeniu regionalnym </w:t>
            </w:r>
            <w:r w:rsidRPr="005831A3">
              <w:rPr>
                <w:rFonts w:eastAsia="Times New Roman" w:cs="Calibri"/>
                <w:color w:val="000000"/>
                <w:sz w:val="18"/>
                <w:szCs w:val="18"/>
                <w:lang w:eastAsia="pl-PL"/>
              </w:rPr>
              <w:br/>
              <w:t xml:space="preserve">i </w:t>
            </w:r>
            <w:proofErr w:type="spellStart"/>
            <w:r w:rsidRPr="005831A3">
              <w:rPr>
                <w:rFonts w:eastAsia="Times New Roman" w:cs="Calibri"/>
                <w:color w:val="000000"/>
                <w:sz w:val="18"/>
                <w:szCs w:val="18"/>
                <w:lang w:eastAsia="pl-PL"/>
              </w:rPr>
              <w:t>subregionalnym</w:t>
            </w:r>
            <w:proofErr w:type="spellEnd"/>
            <w:r w:rsidRPr="005831A3">
              <w:rPr>
                <w:rFonts w:eastAsia="Times New Roman" w:cs="Calibri"/>
                <w:color w:val="000000"/>
                <w:sz w:val="18"/>
                <w:szCs w:val="18"/>
                <w:lang w:eastAsia="pl-PL"/>
              </w:rPr>
              <w:t>, będących generatorami ruchu aglomeracyjnego.</w:t>
            </w:r>
          </w:p>
        </w:tc>
        <w:tc>
          <w:tcPr>
            <w:tcW w:w="822" w:type="pct"/>
            <w:shd w:val="clear" w:color="auto" w:fill="F2F2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50" w:type="pct"/>
            <w:shd w:val="clear" w:color="auto" w:fill="F2F2F2" w:themeFill="background1" w:themeFillShade="F2"/>
            <w:noWrap/>
            <w:vAlign w:val="center"/>
            <w:hideMark/>
          </w:tcPr>
          <w:p w:rsidR="002E0272" w:rsidRPr="00AE35C1" w:rsidRDefault="002E0272"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2E0272" w:rsidRPr="00AE35C1" w:rsidRDefault="002E0272" w:rsidP="002C784B">
            <w:pPr>
              <w:spacing w:after="0" w:line="240" w:lineRule="auto"/>
              <w:jc w:val="center"/>
              <w:rPr>
                <w:rFonts w:eastAsia="Times New Roman" w:cs="Calibri"/>
                <w:color w:val="000000"/>
                <w:sz w:val="18"/>
                <w:szCs w:val="18"/>
                <w:lang w:eastAsia="pl-PL"/>
              </w:rPr>
            </w:pPr>
          </w:p>
        </w:tc>
      </w:tr>
      <w:tr w:rsidR="00D113CA" w:rsidRPr="00AE35C1" w:rsidTr="00303C27">
        <w:trPr>
          <w:trHeight w:val="625"/>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Pr>
                <w:rFonts w:eastAsia="Times New Roman" w:cs="Calibri"/>
                <w:b/>
                <w:color w:val="000000"/>
                <w:sz w:val="18"/>
                <w:szCs w:val="18"/>
                <w:lang w:eastAsia="pl-PL"/>
              </w:rPr>
              <w:t>5.1.4.</w:t>
            </w:r>
          </w:p>
        </w:tc>
        <w:tc>
          <w:tcPr>
            <w:tcW w:w="2170" w:type="pct"/>
            <w:shd w:val="clear" w:color="auto" w:fill="D9D9D9"/>
            <w:hideMark/>
          </w:tcPr>
          <w:p w:rsidR="00680744" w:rsidRDefault="00680744" w:rsidP="00130E5F">
            <w:pPr>
              <w:spacing w:after="0" w:line="240" w:lineRule="auto"/>
              <w:rPr>
                <w:bCs/>
                <w:sz w:val="16"/>
                <w:szCs w:val="18"/>
              </w:rPr>
            </w:pPr>
          </w:p>
          <w:p w:rsidR="00680744" w:rsidRPr="005831A3" w:rsidRDefault="00680744" w:rsidP="00130E5F">
            <w:pPr>
              <w:spacing w:after="0" w:line="240" w:lineRule="auto"/>
              <w:rPr>
                <w:rFonts w:eastAsia="Times New Roman" w:cs="Calibri"/>
                <w:color w:val="000000"/>
                <w:sz w:val="18"/>
                <w:szCs w:val="18"/>
                <w:lang w:eastAsia="pl-PL"/>
              </w:rPr>
            </w:pPr>
            <w:r>
              <w:rPr>
                <w:bCs/>
                <w:sz w:val="16"/>
                <w:szCs w:val="18"/>
              </w:rPr>
              <w:t>Rozwój transportu powietrznego.</w:t>
            </w:r>
          </w:p>
        </w:tc>
        <w:tc>
          <w:tcPr>
            <w:tcW w:w="822" w:type="pct"/>
            <w:shd w:val="clear" w:color="auto" w:fill="F2F2F2"/>
            <w:noWrap/>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F2F2F2" w:themeFill="background1" w:themeFillShade="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p>
        </w:tc>
      </w:tr>
      <w:tr w:rsidR="00680744" w:rsidRPr="00AE35C1" w:rsidTr="00F77394">
        <w:trPr>
          <w:trHeight w:val="224"/>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5.1.</w:t>
            </w:r>
            <w:r>
              <w:rPr>
                <w:rFonts w:eastAsia="Times New Roman" w:cs="Calibri"/>
                <w:b/>
                <w:color w:val="000000"/>
                <w:sz w:val="18"/>
                <w:szCs w:val="18"/>
                <w:lang w:eastAsia="pl-PL"/>
              </w:rPr>
              <w:t>5</w:t>
            </w:r>
            <w:r w:rsidRPr="00AE35C1">
              <w:rPr>
                <w:rFonts w:eastAsia="Times New Roman" w:cs="Calibri"/>
                <w:b/>
                <w:color w:val="000000"/>
                <w:sz w:val="18"/>
                <w:szCs w:val="18"/>
                <w:lang w:eastAsia="pl-PL"/>
              </w:rPr>
              <w:t>.</w:t>
            </w:r>
          </w:p>
        </w:tc>
        <w:tc>
          <w:tcPr>
            <w:tcW w:w="2170" w:type="pct"/>
            <w:shd w:val="clear" w:color="auto" w:fill="D9D9D9"/>
            <w:vAlign w:val="center"/>
            <w:hideMark/>
          </w:tcPr>
          <w:p w:rsidR="00680744" w:rsidRPr="005831A3" w:rsidRDefault="00680744"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Modernizacja taboru na potrzeby regionalnego systemu transportu publicznego.</w:t>
            </w:r>
          </w:p>
        </w:tc>
        <w:tc>
          <w:tcPr>
            <w:tcW w:w="822" w:type="pct"/>
            <w:shd w:val="clear" w:color="auto" w:fill="F2F2F2" w:themeFill="background1" w:themeFillShade="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F2F2F2" w:themeFill="background1" w:themeFillShade="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p>
        </w:tc>
      </w:tr>
      <w:tr w:rsidR="00680744" w:rsidRPr="00AE35C1" w:rsidTr="00F77394">
        <w:trPr>
          <w:trHeight w:val="490"/>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5.1.</w:t>
            </w:r>
            <w:r>
              <w:rPr>
                <w:rFonts w:eastAsia="Times New Roman" w:cs="Calibri"/>
                <w:b/>
                <w:color w:val="000000"/>
                <w:sz w:val="18"/>
                <w:szCs w:val="18"/>
                <w:lang w:eastAsia="pl-PL"/>
              </w:rPr>
              <w:t>6</w:t>
            </w:r>
            <w:r w:rsidRPr="00AE35C1">
              <w:rPr>
                <w:rFonts w:eastAsia="Times New Roman" w:cs="Calibri"/>
                <w:b/>
                <w:color w:val="000000"/>
                <w:sz w:val="18"/>
                <w:szCs w:val="18"/>
                <w:lang w:eastAsia="pl-PL"/>
              </w:rPr>
              <w:t>.</w:t>
            </w:r>
          </w:p>
        </w:tc>
        <w:tc>
          <w:tcPr>
            <w:tcW w:w="2170" w:type="pct"/>
            <w:shd w:val="clear" w:color="auto" w:fill="D9D9D9"/>
            <w:vAlign w:val="center"/>
            <w:hideMark/>
          </w:tcPr>
          <w:p w:rsidR="00680744" w:rsidRPr="005831A3" w:rsidRDefault="00680744"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Rozwój systemu regionalnego transportu towarowego, w tym budowa intermodalnych węzłów logistycznych i przeładunkowych.</w:t>
            </w:r>
          </w:p>
        </w:tc>
        <w:tc>
          <w:tcPr>
            <w:tcW w:w="822" w:type="pct"/>
            <w:shd w:val="clear" w:color="auto" w:fill="F2F2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F2F2F2" w:themeFill="background1" w:themeFillShade="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p>
        </w:tc>
      </w:tr>
      <w:tr w:rsidR="00680744" w:rsidRPr="00AE35C1" w:rsidTr="00F77394">
        <w:trPr>
          <w:trHeight w:val="480"/>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5.1.</w:t>
            </w:r>
            <w:r>
              <w:rPr>
                <w:rFonts w:eastAsia="Times New Roman" w:cs="Calibri"/>
                <w:b/>
                <w:color w:val="000000"/>
                <w:sz w:val="18"/>
                <w:szCs w:val="18"/>
                <w:lang w:eastAsia="pl-PL"/>
              </w:rPr>
              <w:t>7</w:t>
            </w:r>
            <w:r w:rsidRPr="00AE35C1">
              <w:rPr>
                <w:rFonts w:eastAsia="Times New Roman" w:cs="Calibri"/>
                <w:b/>
                <w:color w:val="000000"/>
                <w:sz w:val="18"/>
                <w:szCs w:val="18"/>
                <w:lang w:eastAsia="pl-PL"/>
              </w:rPr>
              <w:t>.</w:t>
            </w:r>
          </w:p>
        </w:tc>
        <w:tc>
          <w:tcPr>
            <w:tcW w:w="2170" w:type="pct"/>
            <w:shd w:val="clear" w:color="auto" w:fill="D9D9D9"/>
            <w:vAlign w:val="center"/>
            <w:hideMark/>
          </w:tcPr>
          <w:p w:rsidR="00680744" w:rsidRPr="005831A3" w:rsidRDefault="00680744"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Budowa i modernizacja przepraw mostowych </w:t>
            </w:r>
            <w:r w:rsidRPr="005831A3">
              <w:rPr>
                <w:rFonts w:eastAsia="Times New Roman" w:cs="Calibri"/>
                <w:color w:val="000000"/>
                <w:sz w:val="18"/>
                <w:szCs w:val="18"/>
                <w:lang w:eastAsia="pl-PL"/>
              </w:rPr>
              <w:br/>
              <w:t>w regionie.</w:t>
            </w:r>
          </w:p>
        </w:tc>
        <w:tc>
          <w:tcPr>
            <w:tcW w:w="822" w:type="pct"/>
            <w:shd w:val="clear" w:color="auto" w:fill="F2F2F2" w:themeFill="background1" w:themeFillShade="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F2F2F2" w:themeFill="background1" w:themeFillShade="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p>
        </w:tc>
      </w:tr>
      <w:tr w:rsidR="00680744" w:rsidRPr="00AE35C1" w:rsidTr="00303C27">
        <w:trPr>
          <w:trHeight w:val="480"/>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5.1.</w:t>
            </w:r>
            <w:r>
              <w:rPr>
                <w:rFonts w:eastAsia="Times New Roman" w:cs="Calibri"/>
                <w:b/>
                <w:color w:val="000000"/>
                <w:sz w:val="18"/>
                <w:szCs w:val="18"/>
                <w:lang w:eastAsia="pl-PL"/>
              </w:rPr>
              <w:t>8</w:t>
            </w:r>
            <w:r w:rsidRPr="00AE35C1">
              <w:rPr>
                <w:rFonts w:eastAsia="Times New Roman" w:cs="Calibri"/>
                <w:b/>
                <w:color w:val="000000"/>
                <w:sz w:val="18"/>
                <w:szCs w:val="18"/>
                <w:lang w:eastAsia="pl-PL"/>
              </w:rPr>
              <w:t>.</w:t>
            </w:r>
          </w:p>
        </w:tc>
        <w:tc>
          <w:tcPr>
            <w:tcW w:w="2170" w:type="pct"/>
            <w:shd w:val="clear" w:color="auto" w:fill="D9D9D9"/>
            <w:vAlign w:val="center"/>
            <w:hideMark/>
          </w:tcPr>
          <w:p w:rsidR="00680744" w:rsidRPr="005831A3" w:rsidRDefault="00680744"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Rozwój zintegrowanych </w:t>
            </w:r>
            <w:proofErr w:type="spellStart"/>
            <w:r w:rsidRPr="005831A3">
              <w:rPr>
                <w:rFonts w:eastAsia="Times New Roman" w:cs="Calibri"/>
                <w:color w:val="000000"/>
                <w:sz w:val="18"/>
                <w:szCs w:val="18"/>
                <w:lang w:eastAsia="pl-PL"/>
              </w:rPr>
              <w:t>subregionalnych</w:t>
            </w:r>
            <w:proofErr w:type="spellEnd"/>
            <w:r w:rsidRPr="005831A3">
              <w:rPr>
                <w:rFonts w:eastAsia="Times New Roman" w:cs="Calibri"/>
                <w:color w:val="000000"/>
                <w:sz w:val="18"/>
                <w:szCs w:val="18"/>
                <w:lang w:eastAsia="pl-PL"/>
              </w:rPr>
              <w:t xml:space="preserve"> systemów transportu publicznego.</w:t>
            </w:r>
          </w:p>
        </w:tc>
        <w:tc>
          <w:tcPr>
            <w:tcW w:w="822" w:type="pct"/>
            <w:shd w:val="clear" w:color="auto" w:fill="BEEAFA"/>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p>
        </w:tc>
      </w:tr>
      <w:tr w:rsidR="00680744" w:rsidRPr="00AE35C1" w:rsidTr="00303C27">
        <w:trPr>
          <w:trHeight w:val="720"/>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5.1.</w:t>
            </w:r>
            <w:r>
              <w:rPr>
                <w:rFonts w:eastAsia="Times New Roman" w:cs="Calibri"/>
                <w:b/>
                <w:color w:val="000000"/>
                <w:sz w:val="18"/>
                <w:szCs w:val="18"/>
                <w:lang w:eastAsia="pl-PL"/>
              </w:rPr>
              <w:t>9</w:t>
            </w:r>
            <w:r w:rsidRPr="00AE35C1">
              <w:rPr>
                <w:rFonts w:eastAsia="Times New Roman" w:cs="Calibri"/>
                <w:b/>
                <w:color w:val="000000"/>
                <w:sz w:val="18"/>
                <w:szCs w:val="18"/>
                <w:lang w:eastAsia="pl-PL"/>
              </w:rPr>
              <w:t>.</w:t>
            </w:r>
          </w:p>
        </w:tc>
        <w:tc>
          <w:tcPr>
            <w:tcW w:w="2170" w:type="pct"/>
            <w:shd w:val="clear" w:color="auto" w:fill="D9D9D9"/>
            <w:vAlign w:val="center"/>
            <w:hideMark/>
          </w:tcPr>
          <w:p w:rsidR="00680744" w:rsidRPr="005831A3" w:rsidRDefault="00680744"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Wsparcie działań na rzecz zwiększenia efektywności transportu w ujęciu proekologicznym (</w:t>
            </w:r>
            <w:proofErr w:type="spellStart"/>
            <w:r w:rsidRPr="005831A3">
              <w:rPr>
                <w:rFonts w:eastAsia="Times New Roman" w:cs="Calibri"/>
                <w:color w:val="000000"/>
                <w:sz w:val="18"/>
                <w:szCs w:val="18"/>
                <w:lang w:eastAsia="pl-PL"/>
              </w:rPr>
              <w:t>elektromobilność</w:t>
            </w:r>
            <w:proofErr w:type="spellEnd"/>
            <w:r w:rsidRPr="005831A3">
              <w:rPr>
                <w:rFonts w:eastAsia="Times New Roman" w:cs="Calibri"/>
                <w:color w:val="000000"/>
                <w:sz w:val="18"/>
                <w:szCs w:val="18"/>
                <w:lang w:eastAsia="pl-PL"/>
              </w:rPr>
              <w:t>).</w:t>
            </w:r>
          </w:p>
        </w:tc>
        <w:tc>
          <w:tcPr>
            <w:tcW w:w="822" w:type="pct"/>
            <w:shd w:val="clear" w:color="auto" w:fill="F2F2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BEEAFA"/>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p>
        </w:tc>
      </w:tr>
      <w:tr w:rsidR="00680744" w:rsidRPr="00AE35C1" w:rsidTr="00303C27">
        <w:trPr>
          <w:trHeight w:val="650"/>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5.1.</w:t>
            </w:r>
            <w:r>
              <w:rPr>
                <w:rFonts w:eastAsia="Times New Roman" w:cs="Calibri"/>
                <w:b/>
                <w:color w:val="000000"/>
                <w:sz w:val="18"/>
                <w:szCs w:val="18"/>
                <w:lang w:eastAsia="pl-PL"/>
              </w:rPr>
              <w:t>10</w:t>
            </w:r>
            <w:r w:rsidRPr="00AE35C1">
              <w:rPr>
                <w:rFonts w:eastAsia="Times New Roman" w:cs="Calibri"/>
                <w:b/>
                <w:color w:val="000000"/>
                <w:sz w:val="18"/>
                <w:szCs w:val="18"/>
                <w:lang w:eastAsia="pl-PL"/>
              </w:rPr>
              <w:t>. </w:t>
            </w:r>
          </w:p>
        </w:tc>
        <w:tc>
          <w:tcPr>
            <w:tcW w:w="2170" w:type="pct"/>
            <w:shd w:val="clear" w:color="auto" w:fill="D9D9D9"/>
            <w:vAlign w:val="center"/>
            <w:hideMark/>
          </w:tcPr>
          <w:p w:rsidR="00680744" w:rsidRPr="005831A3" w:rsidRDefault="00680744"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Wykorzystanie dróg wodnych, w szczególności Odry do żeglugi turystycznej i pasażerskiej oraz transportu wodnego.</w:t>
            </w:r>
          </w:p>
        </w:tc>
        <w:tc>
          <w:tcPr>
            <w:tcW w:w="822" w:type="pct"/>
            <w:shd w:val="clear" w:color="auto" w:fill="F2F2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BEEAFA"/>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p>
        </w:tc>
      </w:tr>
      <w:tr w:rsidR="00680744" w:rsidRPr="00AE35C1" w:rsidTr="00303C27">
        <w:trPr>
          <w:trHeight w:val="285"/>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5.1.</w:t>
            </w:r>
            <w:r>
              <w:rPr>
                <w:rFonts w:eastAsia="Times New Roman" w:cs="Calibri"/>
                <w:b/>
                <w:color w:val="000000"/>
                <w:sz w:val="18"/>
                <w:szCs w:val="18"/>
                <w:lang w:eastAsia="pl-PL"/>
              </w:rPr>
              <w:t>11</w:t>
            </w:r>
            <w:r w:rsidRPr="00AE35C1">
              <w:rPr>
                <w:rFonts w:eastAsia="Times New Roman" w:cs="Calibri"/>
                <w:b/>
                <w:color w:val="000000"/>
                <w:sz w:val="18"/>
                <w:szCs w:val="18"/>
                <w:lang w:eastAsia="pl-PL"/>
              </w:rPr>
              <w:t>. </w:t>
            </w:r>
          </w:p>
        </w:tc>
        <w:tc>
          <w:tcPr>
            <w:tcW w:w="2170" w:type="pct"/>
            <w:shd w:val="clear" w:color="auto" w:fill="D9D9D9"/>
            <w:vAlign w:val="center"/>
            <w:hideMark/>
          </w:tcPr>
          <w:p w:rsidR="00680744" w:rsidRPr="005831A3" w:rsidRDefault="00680744"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Rozwój sieci dróg rowerowych.</w:t>
            </w:r>
          </w:p>
        </w:tc>
        <w:tc>
          <w:tcPr>
            <w:tcW w:w="822" w:type="pct"/>
            <w:shd w:val="clear" w:color="auto" w:fill="F2F2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p>
        </w:tc>
      </w:tr>
      <w:tr w:rsidR="00680744" w:rsidRPr="00AE35C1" w:rsidTr="00303C27">
        <w:trPr>
          <w:trHeight w:val="456"/>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5.2.1.</w:t>
            </w:r>
          </w:p>
        </w:tc>
        <w:tc>
          <w:tcPr>
            <w:tcW w:w="2170" w:type="pct"/>
            <w:shd w:val="clear" w:color="auto" w:fill="D9D9D9"/>
            <w:vAlign w:val="center"/>
            <w:hideMark/>
          </w:tcPr>
          <w:p w:rsidR="00680744" w:rsidRPr="005831A3" w:rsidRDefault="00680744"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 xml:space="preserve">Rozbudowa Dolnośląskiej Sieci Szkieletowej </w:t>
            </w:r>
            <w:r w:rsidRPr="005831A3">
              <w:rPr>
                <w:rFonts w:eastAsia="Times New Roman" w:cs="Calibri"/>
                <w:color w:val="000000"/>
                <w:sz w:val="18"/>
                <w:szCs w:val="18"/>
                <w:lang w:eastAsia="pl-PL"/>
              </w:rPr>
              <w:br/>
              <w:t xml:space="preserve">w zakresie dostępności </w:t>
            </w:r>
            <w:proofErr w:type="spellStart"/>
            <w:r w:rsidRPr="005831A3">
              <w:rPr>
                <w:rFonts w:eastAsia="Times New Roman" w:cs="Calibri"/>
                <w:color w:val="000000"/>
                <w:sz w:val="18"/>
                <w:szCs w:val="18"/>
                <w:lang w:eastAsia="pl-PL"/>
              </w:rPr>
              <w:t>internetu</w:t>
            </w:r>
            <w:proofErr w:type="spellEnd"/>
            <w:r w:rsidRPr="005831A3">
              <w:rPr>
                <w:rFonts w:eastAsia="Times New Roman" w:cs="Calibri"/>
                <w:color w:val="000000"/>
                <w:sz w:val="18"/>
                <w:szCs w:val="18"/>
                <w:lang w:eastAsia="pl-PL"/>
              </w:rPr>
              <w:t xml:space="preserve"> w każdym gospodarstwie domowym.</w:t>
            </w:r>
          </w:p>
        </w:tc>
        <w:tc>
          <w:tcPr>
            <w:tcW w:w="822" w:type="pct"/>
            <w:shd w:val="clear" w:color="auto" w:fill="BEEAFA"/>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p>
        </w:tc>
      </w:tr>
      <w:tr w:rsidR="00680744" w:rsidRPr="00AE35C1" w:rsidTr="00303C27">
        <w:trPr>
          <w:trHeight w:val="518"/>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5.2.2.</w:t>
            </w:r>
          </w:p>
        </w:tc>
        <w:tc>
          <w:tcPr>
            <w:tcW w:w="2170" w:type="pct"/>
            <w:shd w:val="clear" w:color="auto" w:fill="D9D9D9"/>
            <w:vAlign w:val="center"/>
            <w:hideMark/>
          </w:tcPr>
          <w:p w:rsidR="00680744" w:rsidRPr="005831A3" w:rsidRDefault="00680744"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Rozwój Dolnośląskiej Infrastruktury Informacji Przestrzennej w zakresie zwiększenia dostępności do zasobów informacyjnych o regionie.</w:t>
            </w:r>
          </w:p>
        </w:tc>
        <w:tc>
          <w:tcPr>
            <w:tcW w:w="822" w:type="pct"/>
            <w:shd w:val="clear" w:color="auto" w:fill="BEEAFA"/>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BEEAFA"/>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p>
        </w:tc>
      </w:tr>
      <w:tr w:rsidR="00680744" w:rsidRPr="00AE35C1" w:rsidTr="00303C27">
        <w:trPr>
          <w:trHeight w:val="260"/>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5.3.1.</w:t>
            </w:r>
          </w:p>
        </w:tc>
        <w:tc>
          <w:tcPr>
            <w:tcW w:w="2170" w:type="pct"/>
            <w:shd w:val="clear" w:color="auto" w:fill="D9D9D9"/>
            <w:vAlign w:val="center"/>
            <w:hideMark/>
          </w:tcPr>
          <w:p w:rsidR="00680744" w:rsidRPr="005831A3" w:rsidRDefault="00680744"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Rozwój współpracy międzyregionalnej.</w:t>
            </w:r>
          </w:p>
        </w:tc>
        <w:tc>
          <w:tcPr>
            <w:tcW w:w="822" w:type="pct"/>
            <w:shd w:val="clear" w:color="auto" w:fill="BEEAFA"/>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r w:rsidRPr="00AE35C1">
              <w:rPr>
                <w:rFonts w:eastAsia="Times New Roman" w:cs="Calibri"/>
                <w:color w:val="000000"/>
                <w:sz w:val="18"/>
                <w:szCs w:val="18"/>
                <w:lang w:eastAsia="pl-PL"/>
              </w:rPr>
              <w:t> </w:t>
            </w:r>
          </w:p>
        </w:tc>
      </w:tr>
      <w:tr w:rsidR="00680744" w:rsidRPr="00AE35C1" w:rsidTr="00303C27">
        <w:trPr>
          <w:trHeight w:val="285"/>
        </w:trPr>
        <w:tc>
          <w:tcPr>
            <w:tcW w:w="474" w:type="pct"/>
            <w:shd w:val="clear" w:color="auto" w:fill="D9D9D9"/>
            <w:vAlign w:val="center"/>
            <w:hideMark/>
          </w:tcPr>
          <w:p w:rsidR="00680744" w:rsidRPr="00AE35C1" w:rsidRDefault="00680744" w:rsidP="00130E5F">
            <w:pPr>
              <w:spacing w:after="0" w:line="240" w:lineRule="auto"/>
              <w:jc w:val="center"/>
              <w:rPr>
                <w:rFonts w:eastAsia="Times New Roman" w:cs="Calibri"/>
                <w:b/>
                <w:color w:val="000000"/>
                <w:sz w:val="18"/>
                <w:szCs w:val="18"/>
                <w:lang w:eastAsia="pl-PL"/>
              </w:rPr>
            </w:pPr>
            <w:r w:rsidRPr="00AE35C1">
              <w:rPr>
                <w:rFonts w:eastAsia="Times New Roman" w:cs="Calibri"/>
                <w:b/>
                <w:color w:val="000000"/>
                <w:sz w:val="18"/>
                <w:szCs w:val="18"/>
                <w:lang w:eastAsia="pl-PL"/>
              </w:rPr>
              <w:t>5.3.2.</w:t>
            </w:r>
          </w:p>
        </w:tc>
        <w:tc>
          <w:tcPr>
            <w:tcW w:w="2170" w:type="pct"/>
            <w:shd w:val="clear" w:color="auto" w:fill="D9D9D9"/>
            <w:vAlign w:val="center"/>
            <w:hideMark/>
          </w:tcPr>
          <w:p w:rsidR="00680744" w:rsidRPr="005831A3" w:rsidRDefault="00680744" w:rsidP="00130E5F">
            <w:pPr>
              <w:spacing w:after="0" w:line="240" w:lineRule="auto"/>
              <w:rPr>
                <w:rFonts w:eastAsia="Times New Roman" w:cs="Calibri"/>
                <w:color w:val="000000"/>
                <w:sz w:val="18"/>
                <w:szCs w:val="18"/>
                <w:lang w:eastAsia="pl-PL"/>
              </w:rPr>
            </w:pPr>
            <w:r w:rsidRPr="005831A3">
              <w:rPr>
                <w:rFonts w:eastAsia="Times New Roman" w:cs="Calibri"/>
                <w:color w:val="000000"/>
                <w:sz w:val="18"/>
                <w:szCs w:val="18"/>
                <w:lang w:eastAsia="pl-PL"/>
              </w:rPr>
              <w:t>Rozwój współpracy transgranicznej.</w:t>
            </w:r>
          </w:p>
        </w:tc>
        <w:tc>
          <w:tcPr>
            <w:tcW w:w="822" w:type="pct"/>
            <w:shd w:val="clear" w:color="auto" w:fill="BEEAFA"/>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50" w:type="pct"/>
            <w:shd w:val="clear" w:color="auto" w:fill="F2F2F2"/>
            <w:noWrap/>
            <w:vAlign w:val="center"/>
            <w:hideMark/>
          </w:tcPr>
          <w:p w:rsidR="00680744" w:rsidRPr="00AE35C1" w:rsidRDefault="00680744" w:rsidP="00130E5F">
            <w:pPr>
              <w:spacing w:after="0" w:line="240" w:lineRule="auto"/>
              <w:jc w:val="center"/>
              <w:rPr>
                <w:rFonts w:eastAsia="Times New Roman" w:cs="Calibri"/>
                <w:color w:val="000000"/>
                <w:sz w:val="18"/>
                <w:szCs w:val="18"/>
                <w:lang w:eastAsia="pl-PL"/>
              </w:rPr>
            </w:pPr>
          </w:p>
        </w:tc>
        <w:tc>
          <w:tcPr>
            <w:tcW w:w="784" w:type="pct"/>
            <w:shd w:val="clear" w:color="auto" w:fill="F2F2F2"/>
            <w:noWrap/>
            <w:vAlign w:val="center"/>
            <w:hideMark/>
          </w:tcPr>
          <w:p w:rsidR="00680744" w:rsidRPr="00AE35C1" w:rsidRDefault="00680744" w:rsidP="002C784B">
            <w:pPr>
              <w:spacing w:after="0" w:line="240" w:lineRule="auto"/>
              <w:jc w:val="center"/>
              <w:rPr>
                <w:rFonts w:eastAsia="Times New Roman" w:cs="Calibri"/>
                <w:color w:val="000000"/>
                <w:sz w:val="18"/>
                <w:szCs w:val="18"/>
                <w:lang w:eastAsia="pl-PL"/>
              </w:rPr>
            </w:pPr>
            <w:r w:rsidRPr="00AE35C1">
              <w:rPr>
                <w:rFonts w:eastAsia="Times New Roman" w:cs="Calibri"/>
                <w:color w:val="000000"/>
                <w:sz w:val="18"/>
                <w:szCs w:val="18"/>
                <w:lang w:eastAsia="pl-PL"/>
              </w:rPr>
              <w:t> </w:t>
            </w:r>
          </w:p>
        </w:tc>
      </w:tr>
    </w:tbl>
    <w:p w:rsidR="00130E5F" w:rsidRPr="00AE35C1" w:rsidRDefault="00130E5F" w:rsidP="00D41A4A">
      <w:pPr>
        <w:pStyle w:val="Nagwek1"/>
        <w:sectPr w:rsidR="00130E5F" w:rsidRPr="00AE35C1" w:rsidSect="00E73C96">
          <w:pgSz w:w="11906" w:h="16838"/>
          <w:pgMar w:top="1417" w:right="1417" w:bottom="851" w:left="1417" w:header="708" w:footer="708" w:gutter="0"/>
          <w:cols w:space="708"/>
          <w:titlePg/>
          <w:docGrid w:linePitch="360"/>
        </w:sectPr>
      </w:pPr>
    </w:p>
    <w:p w:rsidR="008F1847" w:rsidRPr="00AE35C1" w:rsidRDefault="00641928" w:rsidP="00D41A4A">
      <w:pPr>
        <w:pStyle w:val="Nagwek1"/>
      </w:pPr>
      <w:bookmarkStart w:id="68" w:name="_Toc511716333"/>
      <w:r w:rsidRPr="00AE35C1">
        <w:lastRenderedPageBreak/>
        <w:t xml:space="preserve">7. </w:t>
      </w:r>
      <w:r w:rsidR="008F1847" w:rsidRPr="00AE35C1">
        <w:t>Monitoring i ewaluacja SRWD</w:t>
      </w:r>
      <w:bookmarkEnd w:id="68"/>
      <w:r w:rsidR="008F1847" w:rsidRPr="00AE35C1">
        <w:t xml:space="preserve"> </w:t>
      </w:r>
    </w:p>
    <w:p w:rsidR="008F1847" w:rsidRPr="00AE35C1" w:rsidRDefault="00641928" w:rsidP="000130BF">
      <w:pPr>
        <w:pStyle w:val="Nagwek2"/>
        <w:spacing w:before="300"/>
      </w:pPr>
      <w:bookmarkStart w:id="69" w:name="_Toc511716334"/>
      <w:r w:rsidRPr="00AE35C1">
        <w:t xml:space="preserve">7.1 </w:t>
      </w:r>
      <w:r w:rsidR="008F1847" w:rsidRPr="00AE35C1">
        <w:t>SYSTEM MONITORINGU</w:t>
      </w:r>
      <w:r w:rsidR="00DE6D43" w:rsidRPr="00AE35C1">
        <w:t xml:space="preserve"> I EWALUACJI</w:t>
      </w:r>
      <w:bookmarkEnd w:id="69"/>
    </w:p>
    <w:p w:rsidR="008F1847" w:rsidRPr="00AE35C1" w:rsidRDefault="008F1847" w:rsidP="005F49A2">
      <w:pPr>
        <w:pStyle w:val="TEKST"/>
        <w:spacing w:after="60"/>
        <w:rPr>
          <w:bCs/>
        </w:rPr>
      </w:pPr>
      <w:r w:rsidRPr="00AE35C1">
        <w:rPr>
          <w:b/>
        </w:rPr>
        <w:t xml:space="preserve">System monitoringu i ewaluacji </w:t>
      </w:r>
      <w:r w:rsidRPr="00AE35C1">
        <w:t>powinien stanowić narzędzie zarządzania umożliwiające efektywne planowanie, alokację środków, okresową ocenę i dostosowanie p</w:t>
      </w:r>
      <w:r w:rsidR="00FB62F2" w:rsidRPr="00AE35C1">
        <w:t>odejmowanych działań zgodnie ze </w:t>
      </w:r>
      <w:r w:rsidRPr="00AE35C1">
        <w:t>zmieniającymi się warunkami społeczno-gospodarczymi i zdiagnozowanymi potrzebami na podstawie zestandaryzowanej i powtarzalnej metodyki. Koncepcja systemu monitorowania i</w:t>
      </w:r>
      <w:r w:rsidR="005F2FC7" w:rsidRPr="00AE35C1">
        <w:t> </w:t>
      </w:r>
      <w:r w:rsidRPr="00AE35C1">
        <w:t xml:space="preserve">ewaluacji </w:t>
      </w:r>
      <w:r w:rsidRPr="00AE35C1">
        <w:rPr>
          <w:i/>
        </w:rPr>
        <w:t>Strategii rozwoju województwa dolnośląskiego 2030</w:t>
      </w:r>
      <w:r w:rsidRPr="00AE35C1">
        <w:t xml:space="preserve"> zgodna jest z wnioskami i zaleceniami wynikającymi z dokumentów strategicznych i programowych szczebla krajowego oraz europejskiego. Do najbardziej istotnych dla monitoringu i ewaluacji zaleceń i wniosków w projektowanym systemie zaliczyć można: </w:t>
      </w:r>
    </w:p>
    <w:p w:rsidR="008F1847" w:rsidRPr="00AE35C1" w:rsidRDefault="008F1847" w:rsidP="005F49A2">
      <w:pPr>
        <w:pStyle w:val="TEKST"/>
        <w:numPr>
          <w:ilvl w:val="0"/>
          <w:numId w:val="12"/>
        </w:numPr>
        <w:spacing w:after="0"/>
      </w:pPr>
      <w:r w:rsidRPr="00AE35C1">
        <w:t>ukierunkowanie działań na rezultaty,</w:t>
      </w:r>
    </w:p>
    <w:p w:rsidR="008F1847" w:rsidRPr="00AE35C1" w:rsidRDefault="008F1847" w:rsidP="005F49A2">
      <w:pPr>
        <w:pStyle w:val="TEKST"/>
        <w:numPr>
          <w:ilvl w:val="0"/>
          <w:numId w:val="12"/>
        </w:numPr>
        <w:spacing w:after="0"/>
      </w:pPr>
      <w:r w:rsidRPr="00AE35C1">
        <w:t>oparcie polityki na dowodach,</w:t>
      </w:r>
    </w:p>
    <w:p w:rsidR="008F1847" w:rsidRPr="00AE35C1" w:rsidRDefault="008F1847" w:rsidP="005F49A2">
      <w:pPr>
        <w:pStyle w:val="TEKST"/>
        <w:numPr>
          <w:ilvl w:val="0"/>
          <w:numId w:val="12"/>
        </w:numPr>
        <w:spacing w:after="0"/>
      </w:pPr>
      <w:r w:rsidRPr="00AE35C1">
        <w:t>włączenie spójności terytorialnej do zakresu działań rozwojowych,</w:t>
      </w:r>
    </w:p>
    <w:p w:rsidR="00000DB5" w:rsidRPr="00AE35C1" w:rsidRDefault="008F1847" w:rsidP="00000DB5">
      <w:pPr>
        <w:pStyle w:val="TEKST"/>
        <w:numPr>
          <w:ilvl w:val="0"/>
          <w:numId w:val="12"/>
        </w:numPr>
        <w:spacing w:after="0"/>
      </w:pPr>
      <w:r w:rsidRPr="00AE35C1">
        <w:t>nacisk na wieloszczeblowe i wielopodmiotowe zarządzanie sferą publiczną.</w:t>
      </w:r>
    </w:p>
    <w:p w:rsidR="008F1847" w:rsidRPr="00AE35C1" w:rsidRDefault="00AA1F74" w:rsidP="00765292">
      <w:pPr>
        <w:pStyle w:val="TABELA"/>
        <w:spacing w:line="288" w:lineRule="auto"/>
        <w:jc w:val="center"/>
        <w:rPr>
          <w:rFonts w:ascii="Calibri" w:hAnsi="Calibri"/>
          <w:color w:val="000000"/>
          <w:sz w:val="21"/>
          <w:szCs w:val="21"/>
        </w:rPr>
      </w:pPr>
      <w:r w:rsidRPr="00AE35C1">
        <w:rPr>
          <w:rFonts w:ascii="Calibri" w:hAnsi="Calibri"/>
          <w:color w:val="000000"/>
          <w:sz w:val="21"/>
          <w:szCs w:val="21"/>
        </w:rPr>
        <w:t xml:space="preserve">SCHEMAT </w:t>
      </w:r>
      <w:r w:rsidR="008F1847" w:rsidRPr="00AE35C1">
        <w:rPr>
          <w:rFonts w:ascii="Calibri" w:hAnsi="Calibri"/>
          <w:color w:val="000000"/>
          <w:sz w:val="21"/>
          <w:szCs w:val="21"/>
        </w:rPr>
        <w:t>SYSTEM MONITORINGU STRATEGII ROZWOJU WOJEWÓDZTWA DOLNOŚLĄSKIEGO 2030</w:t>
      </w:r>
    </w:p>
    <w:p w:rsidR="008F1847" w:rsidRPr="00AE35C1" w:rsidRDefault="00E6670D" w:rsidP="005F49A2">
      <w:pPr>
        <w:spacing w:line="288" w:lineRule="auto"/>
        <w:rPr>
          <w:color w:val="000000"/>
        </w:rPr>
      </w:pPr>
      <w:r>
        <w:rPr>
          <w:noProof/>
          <w:color w:val="000000"/>
          <w:lang w:eastAsia="pl-PL"/>
        </w:rPr>
        <w:pict>
          <v:group id="Grupa 74" o:spid="_x0000_s1027" style="position:absolute;margin-left:14.6pt;margin-top:.5pt;width:429.45pt;height:169.9pt;z-index:251652096" coordorigin="202,-496" coordsize="57399,22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">
            <v:roundrect id="Prostokąt zaokrąglony 12" o:spid="_x0000_s1028" style="position:absolute;left:16795;width:23108;height:371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B6GMUA&#10;AADbAAAADwAAAGRycy9kb3ducmV2LnhtbESPT2vCQBTE7wW/w/IKXkQ3ycE/qatIQOypUBX0+Jp9&#10;JqHZt2F3NWk/fbdQ6HGYmd8w6+1gWvEg5xvLCtJZAoK4tLrhSsH5tJ8uQfiArLG1TAq+yMN2M3pa&#10;Y65tz+/0OIZKRAj7HBXUIXS5lL6syaCf2Y44ejfrDIYoXSW1wz7CTSuzJJlLgw3HhRo7KmoqP493&#10;o8B/NNfL6ruYzHtX6MWtPLy5wEqNn4fdC4hAQ/gP/7VftYIs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4HoYxQAAANsAAAAPAAAAAAAAAAAAAAAAAJgCAABkcnMv&#10;ZG93bnJldi54bWxQSwUGAAAAAAQABAD1AAAAigMAAAAA&#10;" fillcolor="#d8d8d8" stroked="f" strokeweight="2pt">
              <v:textbox>
                <w:txbxContent>
                  <w:p w:rsidR="006B79DC" w:rsidRPr="00FD0968" w:rsidRDefault="006B79DC" w:rsidP="008F1847">
                    <w:pPr>
                      <w:spacing w:after="0"/>
                      <w:jc w:val="center"/>
                      <w:rPr>
                        <w:rFonts w:cs="Calibri"/>
                        <w:b/>
                        <w:color w:val="000000"/>
                        <w:sz w:val="16"/>
                        <w:szCs w:val="16"/>
                      </w:rPr>
                    </w:pPr>
                    <w:r w:rsidRPr="00FD0968">
                      <w:rPr>
                        <w:rFonts w:cs="Calibri"/>
                        <w:b/>
                        <w:color w:val="000000"/>
                        <w:sz w:val="16"/>
                        <w:szCs w:val="16"/>
                      </w:rPr>
                      <w:t xml:space="preserve">PROCES WDRAŻANIA STRATEGII ROZWOJU </w:t>
                    </w:r>
                  </w:p>
                  <w:p w:rsidR="006B79DC" w:rsidRPr="00FD0968" w:rsidRDefault="006B79DC" w:rsidP="008F1847">
                    <w:pPr>
                      <w:spacing w:after="0"/>
                      <w:jc w:val="center"/>
                      <w:rPr>
                        <w:rFonts w:cs="Calibri"/>
                        <w:b/>
                        <w:color w:val="000000"/>
                        <w:sz w:val="16"/>
                        <w:szCs w:val="16"/>
                      </w:rPr>
                    </w:pPr>
                    <w:r w:rsidRPr="00FD0968">
                      <w:rPr>
                        <w:rFonts w:cs="Calibri"/>
                        <w:b/>
                        <w:color w:val="000000"/>
                        <w:sz w:val="16"/>
                        <w:szCs w:val="16"/>
                      </w:rPr>
                      <w:t>WOJEWÓDZTWA DOLNOŚLĄSKIEGO 2030</w:t>
                    </w:r>
                  </w:p>
                </w:txbxContent>
              </v:textbox>
            </v:roundrect>
            <v:roundrect id="Prostokąt zaokrąglony 13" o:spid="_x0000_s1029" style="position:absolute;left:41799;top:8932;width:15802;height:374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5B9MQA&#10;AADbAAAADwAAAGRycy9kb3ducmV2LnhtbESPT2vCQBTE7wW/w/IEL0U3teCf6CoSkPZUqAp6fGaf&#10;STD7NuxuTeqndwsFj8PM/IZZrjtTixs5X1lW8DZKQBDnVldcKDjst8MZCB+QNdaWScEveVivei9L&#10;TLVt+Ztuu1CICGGfooIyhCaV0uclGfQj2xBH72KdwRClK6R22Ea4qeU4SSbSYMVxocSGspLy6+7H&#10;KPDn6nSc37PXSesyPb3kH18usFKDfrdZgAjUhWf4v/2pFYzf4e9L/AF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QfTEAAAA2wAAAA8AAAAAAAAAAAAAAAAAmAIAAGRycy9k&#10;b3ducmV2LnhtbFBLBQYAAAAABAAEAPUAAACJAwAAAAA=&#10;" fillcolor="#d8d8d8" stroked="f" strokeweight="2pt">
              <v:textbox>
                <w:txbxContent>
                  <w:p w:rsidR="006B79DC" w:rsidRPr="00FD0968" w:rsidRDefault="006B79DC" w:rsidP="008F1847">
                    <w:pPr>
                      <w:spacing w:after="0"/>
                      <w:jc w:val="center"/>
                      <w:rPr>
                        <w:rFonts w:cs="Calibri"/>
                        <w:b/>
                        <w:color w:val="000000"/>
                        <w:sz w:val="16"/>
                        <w:szCs w:val="16"/>
                      </w:rPr>
                    </w:pPr>
                    <w:r w:rsidRPr="00FD0968">
                      <w:rPr>
                        <w:rFonts w:cs="Calibri"/>
                        <w:b/>
                        <w:color w:val="000000"/>
                        <w:sz w:val="16"/>
                        <w:szCs w:val="16"/>
                      </w:rPr>
                      <w:t>DOSTOSOWANIE PODEJMOWANYCH DZIAŁAŃ</w:t>
                    </w:r>
                  </w:p>
                </w:txbxContent>
              </v:textbox>
            </v:roundrect>
            <v:roundrect id="Prostokąt zaokrąglony 14" o:spid="_x0000_s1030" style="position:absolute;left:202;top:9268;width:14382;height:385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ibMQA&#10;AADbAAAADwAAAGRycy9kb3ducmV2LnhtbESPT2vCQBTE7wW/w/IEL0U3ekg1uooEij0V/AN6fGaf&#10;STD7NuxuTdpP7xYKPQ4z8xtmtelNIx7kfG1ZwXSSgCAurK65VHA6vo/nIHxA1thYJgXf5GGzHrys&#10;MNO24z09DqEUEcI+QwVVCG0mpS8qMugntiWO3s06gyFKV0rtsItw08hZkqTSYM1xocKW8oqK++HL&#10;KPDX+nJe/OSvaedy/XYrdp8usFKjYb9dggjUh//wX/tDK5il8Psl/gC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J4mzEAAAA2wAAAA8AAAAAAAAAAAAAAAAAmAIAAGRycy9k&#10;b3ducmV2LnhtbFBLBQYAAAAABAAEAPUAAACJAwAAAAA=&#10;" fillcolor="#d8d8d8" stroked="f" strokeweight="2pt">
              <v:textbox>
                <w:txbxContent>
                  <w:p w:rsidR="006B79DC" w:rsidRPr="00FD0968" w:rsidRDefault="006B79DC" w:rsidP="008F1847">
                    <w:pPr>
                      <w:jc w:val="center"/>
                      <w:rPr>
                        <w:rFonts w:cs="Calibri"/>
                        <w:b/>
                        <w:color w:val="000000"/>
                        <w:sz w:val="16"/>
                        <w:szCs w:val="16"/>
                      </w:rPr>
                    </w:pPr>
                    <w:r w:rsidRPr="00FD0968">
                      <w:rPr>
                        <w:rFonts w:cs="Calibri"/>
                        <w:b/>
                        <w:color w:val="000000"/>
                        <w:sz w:val="16"/>
                        <w:szCs w:val="16"/>
                      </w:rPr>
                      <w:t>INFORMACJA O STOPNIU REALIZACJI SRWD 2030</w:t>
                    </w:r>
                  </w:p>
                </w:txbxContent>
              </v:textbox>
            </v:roundrect>
            <v:roundrect id="Prostokąt zaokrąglony 15" o:spid="_x0000_s1031" style="position:absolute;left:16795;top:19303;width:23762;height:3165;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rThcIA&#10;AADbAAAADwAAAGRycy9kb3ducmV2LnhtbERPy2rCQBTdF/yH4RbclGZSF6mNjiKBoqtCVdDlNXPz&#10;oJk7YWZM0n59Z1Ho8nDe6+1kOjGQ861lBS9JCoK4tLrlWsH59P68BOEDssbOMin4Jg/bzexhjbm2&#10;I3/ScAy1iCHsc1TQhNDnUvqyIYM+sT1x5CrrDIYIXS21wzGGm04u0jSTBluODQ32VDRUfh3vRoG/&#10;tdfL20/xlI2u0K9Vuf9wgZWaP067FYhAU/gX/7kPWsEijo1f4g+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2tOFwgAAANsAAAAPAAAAAAAAAAAAAAAAAJgCAABkcnMvZG93&#10;bnJldi54bWxQSwUGAAAAAAQABAD1AAAAhwMAAAAA&#10;" fillcolor="#d8d8d8" stroked="f" strokeweight="2pt">
              <v:textbox>
                <w:txbxContent>
                  <w:p w:rsidR="006B79DC" w:rsidRPr="00FD0968" w:rsidRDefault="006B79DC" w:rsidP="008F1847">
                    <w:pPr>
                      <w:spacing w:after="0"/>
                      <w:jc w:val="center"/>
                      <w:rPr>
                        <w:rFonts w:cs="Calibri"/>
                        <w:b/>
                        <w:color w:val="000000"/>
                        <w:sz w:val="16"/>
                        <w:szCs w:val="16"/>
                      </w:rPr>
                    </w:pPr>
                    <w:r w:rsidRPr="00FD0968">
                      <w:rPr>
                        <w:rFonts w:cs="Calibri"/>
                        <w:b/>
                        <w:color w:val="000000"/>
                        <w:sz w:val="16"/>
                        <w:szCs w:val="16"/>
                      </w:rPr>
                      <w:t>INTERPRETACJA I OCENA DANYCH, EWALUACJA</w:t>
                    </w:r>
                  </w:p>
                </w:txbxContent>
              </v:textbox>
            </v:roundrect>
            <v:roundrect id="Prostokąt zaokrąglony 18" o:spid="_x0000_s1032" style="position:absolute;left:22985;top:9401;width:10726;height:3745;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Z2HsQA&#10;AADbAAAADwAAAGRycy9kb3ducmV2LnhtbESPQWvCQBSE74X+h+UVvBTd1INtYjZSAkVPQrXQHp/Z&#10;ZxLMvg27WxP99V1B6HGYmW+YfDWaTpzJ+daygpdZAoK4srrlWsHX/mP6BsIHZI2dZVJwIQ+r4vEh&#10;x0zbgT/pvAu1iBD2GSpoQugzKX3VkEE/sz1x9I7WGQxRulpqh0OEm07Ok2QhDbYcFxrsqWyoOu1+&#10;jQJ/aH++02v5vBhcqV+P1XrrAis1eRrflyACjeE/fG9vtIJ5Crcv8QfI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Wdh7EAAAA2wAAAA8AAAAAAAAAAAAAAAAAmAIAAGRycy9k&#10;b3ducmV2LnhtbFBLBQYAAAAABAAEAPUAAACJAwAAAAA=&#10;" fillcolor="#d8d8d8" stroked="f" strokeweight="2pt">
              <v:textbox>
                <w:txbxContent>
                  <w:p w:rsidR="006B79DC" w:rsidRPr="00FD0968" w:rsidRDefault="006B79DC" w:rsidP="008F1847">
                    <w:pPr>
                      <w:spacing w:after="0"/>
                      <w:jc w:val="center"/>
                      <w:rPr>
                        <w:rFonts w:cs="Calibri"/>
                        <w:b/>
                        <w:color w:val="000000"/>
                        <w:sz w:val="16"/>
                        <w:szCs w:val="16"/>
                      </w:rPr>
                    </w:pPr>
                    <w:r w:rsidRPr="00FD0968">
                      <w:rPr>
                        <w:rFonts w:cs="Calibri"/>
                        <w:b/>
                        <w:color w:val="000000"/>
                        <w:sz w:val="16"/>
                        <w:szCs w:val="16"/>
                      </w:rPr>
                      <w:t>MONITORING</w:t>
                    </w:r>
                  </w:p>
                </w:txbxContent>
              </v:textbox>
            </v:roundrect>
            <v:shape id="Wygięta strzałka 20" o:spid="_x0000_s1033" style="position:absolute;left:7061;width:8560;height:7872;visibility:visible;mso-wrap-style:square;v-text-anchor:middle" coordsize="1066483,1266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CksUA&#10;AADbAAAADwAAAGRycy9kb3ducmV2LnhtbESPQWvCQBSE74X+h+UJvZS6SSymxKxSCi3Vm1rx+pp9&#10;JiHZtyG71eiv7wqCx2FmvmHyxWBacaTe1ZYVxOMIBHFhdc2lgp/t58sbCOeRNbaWScGZHCzmjw85&#10;ZtqeeE3HjS9FgLDLUEHlfZdJ6YqKDLqx7YiDd7C9QR9kX0rd4ynATSuTKJpKgzWHhQo7+qioaDZ/&#10;RoFZ7Z+TJnk9fNnVZVjv0nQZx79KPY2G9xkIT4O/h2/tb61gMoHrl/AD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VQKSxQAAANsAAAAPAAAAAAAAAAAAAAAAAJgCAABkcnMv&#10;ZG93bnJldi54bWxQSwUGAAAAAAQABAD1AAAAigMAAAAA&#10;" path="m,1266825l,599897c,342209,208898,133311,466586,133311r333276,-1l799862,r266621,266621l799862,533242r,-133311l466586,399931v-110438,,-199966,89528,-199966,199966c266620,822206,266621,1044516,266621,1266825l,1266825xe" filled="f" strokecolor="#d8d8d8" strokeweight="1.5pt">
              <v:path arrowok="t" o:connecttype="custom" o:connectlocs="0,0;0,0;0,0;0,0;0,0;0,0;0,0;0,0;0,0;0,0;0,0;0,0" o:connectangles="0,0,0,0,0,0,0,0,0,0,0,0"/>
            </v:shape>
            <v:shape id="Wygięta strzałka 21" o:spid="_x0000_s1034" style="position:absolute;left:5755;top:12987;width:9080;height:9362;rotation:-90;visibility:visible;mso-wrap-style:square;v-text-anchor:middle" coordsize="1226185,1154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k7dMMA&#10;AADbAAAADwAAAGRycy9kb3ducmV2LnhtbESPQYvCMBSE78L+h/AW9qaJroh0jSKCrujJ6mGPj+bZ&#10;FpuX0qTa9dcbQfA4zMw3zGzR2UpcqfGlYw3DgQJBnDlTcq7hdFz3pyB8QDZYOSYN/+RhMf/ozTAx&#10;7sYHuqYhFxHCPkENRQh1IqXPCrLoB64mjt7ZNRZDlE0uTYO3CLeVHCk1kRZLjgsF1rQqKLukrdWw&#10;v6fL/HTMJi22v6jOu836T220/vrslj8gAnXhHX61t0bD9xieX+IP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k7dMMAAADbAAAADwAAAAAAAAAAAAAAAACYAgAAZHJzL2Rv&#10;d25yZXYueG1sUEsFBgAAAAAEAAQA9QAAAIgDAAAAAA==&#10;" path="m,1154430l,649367c,370428,226124,144304,505063,144304r432515,l937578,r288607,288608l937578,577215r,-144304l505063,432911v-119545,,-216456,96911,-216456,216456c288607,817721,288608,986076,288608,1154430l,1154430xe" filled="f" strokecolor="#d8d8d8" strokeweight="1.5pt">
              <v:path arrowok="t" o:connecttype="custom" o:connectlocs="0,0;0,0;0,0;0,0;0,0;0,0;0,0;0,0;0,0;0,0;0,0;0,0" o:connectangles="0,0,0,0,0,0,0,0,0,0,0,0"/>
            </v:shape>
            <v:shape id="Wygięta strzałka 22" o:spid="_x0000_s1035" style="position:absolute;left:41440;top:-496;width:8899;height:8368;rotation:180;flip:y;visibility:visible;mso-wrap-style:square;v-text-anchor:middle" coordsize="1190625,1266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kK6b8A&#10;AADbAAAADwAAAGRycy9kb3ducmV2LnhtbESPzarCMBSE94LvEI7gTlPLRaQaRQVRl/7g+tAc22pz&#10;EppcrW9vBMHlMDPfMLNFa2rxoMZXlhWMhgkI4tzqigsF59NmMAHhA7LG2jIpeJGHxbzbmWGm7ZMP&#10;9DiGQkQI+wwVlCG4TEqfl2TQD60jjt7VNgZDlE0hdYPPCDe1TJNkLA1WHBdKdLQuKb8f/42C7fZw&#10;wXayu6/pJlfX3Lk0SfdK9XvtcgoiUBt+4W97pxX8jeHzJf4AOX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KQrpvwAAANsAAAAPAAAAAAAAAAAAAAAAAJgCAABkcnMvZG93bnJl&#10;di54bWxQSwUGAAAAAAQABAD1AAAAhAMAAAAA&#10;" path="m,1266825l,669727c,382043,233214,148829,520898,148829r372071,-1l892969,r297656,297656l892969,595313r,-148829l520898,446484v-123293,,-223242,99949,-223242,223242l297656,1266825,,1266825xe" filled="f" strokecolor="#d8d8d8" strokeweight="1.5pt">
              <v:path arrowok="t" o:connecttype="custom" o:connectlocs="0,0;0,0;0,0;0,0;0,0;0,0;0,0;0,0;0,0;0,0;0,0;0,0" o:connectangles="0,0,0,0,0,0,0,0,0,0,0,0"/>
            </v:shape>
            <v:shape id="Wygięta strzałka 23" o:spid="_x0000_s1036" style="position:absolute;left:42902;top:12355;width:8559;height:10142;rotation:90;flip:y;visibility:visible;mso-wrap-style:square;v-text-anchor:middle" coordsize="1200468,1337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wXCcUA&#10;AADbAAAADwAAAGRycy9kb3ducmV2LnhtbESPS2vDMBCE74X8B7GB3hK5eTW4kUMSaGnwKa4P6W2x&#10;tn7EWhlLTdx/XxUCPQ4z8w2z2Q6mFVfqXW1ZwdM0AkFcWF1zqSD/eJ2sQTiPrLG1TAp+yME2GT1s&#10;MNb2xie6Zr4UAcIuRgWV910spSsqMuimtiMO3pftDfog+1LqHm8Bblo5i6KVNFhzWKiwo0NFxSX7&#10;NgoaPnM7az7z+XO+4N1bekz36VKpx/GwewHhafD/4Xv7XStYLuDvS/gBMv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3BcJxQAAANsAAAAPAAAAAAAAAAAAAAAAAJgCAABkcnMv&#10;ZG93bnJldi54bWxQSwUGAAAAAAQABAD1AAAAigMAAAAA&#10;" path="m,1337312l,666716c,376653,235142,141511,525205,141511r375146,l900351,r300117,291570l900351,583139r,-141511l525205,441628v-124313,,-225088,100775,-225088,225088l300117,1337312,,1337312xe" filled="f" strokecolor="#d8d8d8" strokeweight="1.5pt">
              <v:path arrowok="t" o:connecttype="custom" o:connectlocs="0,0;0,0;0,0;0,0;0,0;0,0;0,0;0,0;0,0;0,0;0,0;0,0" o:connectangles="0,0,0,0,0,0,0,0,0,0,0,0"/>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29" o:spid="_x0000_s1037" type="#_x0000_t67" style="position:absolute;left:25613;top:4474;width:5810;height:44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fkFr4A&#10;AADbAAAADwAAAGRycy9kb3ducmV2LnhtbERPyWrDMBC9F/IPYgK9NbLakATHSgiGQnNM6g8YrPFC&#10;rJGx5CV/Hx0KPT7enp0X24mJBt861qA2CQji0pmWaw3F7/fHAYQPyAY7x6ThSR7Op9VbhqlxM99o&#10;uodaxBD2KWpoQuhTKX3ZkEW/cT1x5Co3WAwRDrU0A84x3HbyM0l20mLLsaHBnvKGysd9tBqCqnb5&#10;1V9H1bfbYiqU+VKz0fp9vVyOIAIt4V/85/4xGvZxffwSf4A8v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NH5Ba+AAAA2wAAAA8AAAAAAAAAAAAAAAAAmAIAAGRycy9kb3ducmV2&#10;LnhtbFBLBQYAAAAABAAEAPUAAACDAwAAAAA=&#10;" adj="10799" filled="f" strokecolor="#d8d8d8" strokeweight="1.5pt"/>
            <v:shape id="Strzałka w dół 32" o:spid="_x0000_s1038" type="#_x0000_t67" style="position:absolute;left:25613;top:13906;width:5810;height:48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tBjcEA&#10;AADbAAAADwAAAGRycy9kb3ducmV2LnhtbESPzWrDMBCE74W8g9hAb7WstKTFiRKCIRAfm/oBFmv9&#10;Q6yVsRTbefuoUOhxmJlvmP1xsb2YaPSdYw0qSUEQV8503Ggof85vXyB8QDbYOyYND/JwPKxe9pgZ&#10;N/M3TdfQiAhhn6GGNoQhk9JXLVn0iRuIo1e70WKIcmykGXGOcNvLTZpupcWO40KLA+UtVbfr3WoI&#10;qt7mhS/uaug+yqlU5l3NRuvX9XLagQi0hP/wX/tiNHwq+P0Sf4A8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wLQY3BAAAA2wAAAA8AAAAAAAAAAAAAAAAAmAIAAGRycy9kb3du&#10;cmV2LnhtbFBLBQYAAAAABAAEAPUAAACGAwAAAAA=&#10;" adj="10799" filled="f" strokecolor="#d8d8d8" strokeweight="1.5pt"/>
          </v:group>
        </w:pict>
      </w:r>
    </w:p>
    <w:p w:rsidR="008F1847" w:rsidRPr="00AE35C1" w:rsidRDefault="00E6670D" w:rsidP="005F49A2">
      <w:pPr>
        <w:spacing w:before="100" w:beforeAutospacing="1" w:after="100" w:afterAutospacing="1" w:line="288" w:lineRule="auto"/>
        <w:rPr>
          <w:rFonts w:cs="Calibri"/>
          <w:color w:val="000000"/>
        </w:rPr>
      </w:pPr>
      <w:r w:rsidRPr="00E6670D">
        <w:rPr>
          <w:noProof/>
          <w:color w:val="000000"/>
          <w:lang w:eastAsia="pl-PL"/>
        </w:rPr>
        <w:pict>
          <v:shape id="Pole tekstowe 57" o:spid="_x0000_s1039" type="#_x0000_t202" style="position:absolute;margin-left:147.5pt;margin-top:10.7pt;width:160.3pt;height:26.2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" filled="f" stroked="f" strokeweight=".5pt">
            <v:path arrowok="t"/>
            <v:textbox>
              <w:txbxContent>
                <w:p w:rsidR="006B79DC" w:rsidRPr="00FD0968" w:rsidRDefault="006B79DC" w:rsidP="008F1847">
                  <w:pPr>
                    <w:jc w:val="center"/>
                    <w:rPr>
                      <w:rFonts w:ascii="Century Gothic" w:hAnsi="Century Gothic" w:cs="Calibri"/>
                      <w:b/>
                      <w:color w:val="000000"/>
                      <w:sz w:val="14"/>
                      <w:szCs w:val="14"/>
                    </w:rPr>
                  </w:pPr>
                  <w:r w:rsidRPr="00FD0968">
                    <w:rPr>
                      <w:rFonts w:ascii="Century Gothic" w:hAnsi="Century Gothic" w:cs="Calibri"/>
                      <w:b/>
                      <w:color w:val="000000"/>
                      <w:sz w:val="14"/>
                      <w:szCs w:val="14"/>
                    </w:rPr>
                    <w:t>ZBIERANIE DANYCH</w:t>
                  </w:r>
                </w:p>
              </w:txbxContent>
            </v:textbox>
          </v:shape>
        </w:pict>
      </w:r>
    </w:p>
    <w:p w:rsidR="008F1847" w:rsidRPr="00AE35C1" w:rsidRDefault="008F1847" w:rsidP="00765292">
      <w:pPr>
        <w:spacing w:before="100" w:beforeAutospacing="1" w:after="100" w:afterAutospacing="1" w:line="288" w:lineRule="auto"/>
        <w:jc w:val="center"/>
        <w:rPr>
          <w:rFonts w:cs="Calibri"/>
          <w:color w:val="000000"/>
        </w:rPr>
      </w:pPr>
    </w:p>
    <w:p w:rsidR="008F1847" w:rsidRPr="00AE35C1" w:rsidRDefault="00E6670D" w:rsidP="005F49A2">
      <w:pPr>
        <w:spacing w:before="100" w:beforeAutospacing="1" w:after="100" w:afterAutospacing="1" w:line="288" w:lineRule="auto"/>
        <w:rPr>
          <w:rFonts w:cs="Calibri"/>
          <w:color w:val="000000"/>
        </w:rPr>
      </w:pPr>
      <w:r w:rsidRPr="00E6670D">
        <w:rPr>
          <w:noProof/>
          <w:color w:val="000000"/>
          <w:lang w:eastAsia="pl-PL"/>
        </w:rPr>
        <w:pict>
          <v:shape id="Pole tekstowe 56" o:spid="_x0000_s1040" type="#_x0000_t202" style="position:absolute;margin-left:158.4pt;margin-top:25.2pt;width:140.25pt;height:17.85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" filled="f" stroked="f" strokeweight=".5pt">
            <v:path arrowok="t"/>
            <v:textbox>
              <w:txbxContent>
                <w:p w:rsidR="006B79DC" w:rsidRPr="00FD0968" w:rsidRDefault="006B79DC" w:rsidP="008F1847">
                  <w:pPr>
                    <w:jc w:val="center"/>
                    <w:rPr>
                      <w:rFonts w:ascii="Century Gothic" w:hAnsi="Century Gothic" w:cs="Calibri"/>
                      <w:b/>
                      <w:color w:val="000000"/>
                      <w:sz w:val="14"/>
                      <w:szCs w:val="14"/>
                    </w:rPr>
                  </w:pPr>
                  <w:r w:rsidRPr="00FD0968">
                    <w:rPr>
                      <w:rFonts w:ascii="Century Gothic" w:hAnsi="Century Gothic" w:cs="Calibri"/>
                      <w:b/>
                      <w:color w:val="000000"/>
                      <w:sz w:val="14"/>
                      <w:szCs w:val="14"/>
                    </w:rPr>
                    <w:t>ANALIZA DANYCH</w:t>
                  </w:r>
                </w:p>
              </w:txbxContent>
            </v:textbox>
          </v:shape>
        </w:pict>
      </w:r>
    </w:p>
    <w:p w:rsidR="008F1847" w:rsidRPr="00AE35C1" w:rsidRDefault="008F1847" w:rsidP="005F49A2">
      <w:pPr>
        <w:spacing w:before="100" w:beforeAutospacing="1" w:after="100" w:afterAutospacing="1" w:line="288" w:lineRule="auto"/>
        <w:rPr>
          <w:rFonts w:cs="Calibri"/>
          <w:color w:val="000000"/>
        </w:rPr>
      </w:pPr>
    </w:p>
    <w:p w:rsidR="008F1847" w:rsidRPr="00AE35C1" w:rsidRDefault="008F1847" w:rsidP="005F49A2">
      <w:pPr>
        <w:spacing w:before="100" w:beforeAutospacing="1" w:after="100" w:afterAutospacing="1" w:line="288" w:lineRule="auto"/>
        <w:rPr>
          <w:rFonts w:cs="Calibri"/>
          <w:color w:val="000000"/>
        </w:rPr>
      </w:pPr>
    </w:p>
    <w:p w:rsidR="008F1847" w:rsidRPr="00AE35C1" w:rsidRDefault="008F1847" w:rsidP="005F49A2">
      <w:pPr>
        <w:spacing w:before="100" w:beforeAutospacing="1" w:after="100" w:afterAutospacing="1" w:line="288" w:lineRule="auto"/>
        <w:rPr>
          <w:rFonts w:cs="Calibri"/>
          <w:color w:val="000000"/>
        </w:rPr>
      </w:pPr>
    </w:p>
    <w:p w:rsidR="008F1847" w:rsidRPr="00AE35C1" w:rsidRDefault="008F1847" w:rsidP="005F49A2">
      <w:pPr>
        <w:pStyle w:val="TEKST"/>
      </w:pPr>
      <w:r w:rsidRPr="00AE35C1">
        <w:rPr>
          <w:b/>
        </w:rPr>
        <w:t>Zakres tematyczny</w:t>
      </w:r>
      <w:r w:rsidRPr="00AE35C1">
        <w:t xml:space="preserve"> monitoringu i ewaluacji realizacji SRWD 2030 określają cele strategiczne i priorytety (cele operacyjne). Monitorowanie rozwoju społeczno-gospodarczego województwa dolnośląskiego strategii będzie odbywać się na bieżąco, a raportowanie w cyklu trzyletnim. Monitoring realizacji celów strategicznych prowadzony będzie w oparciu o zestaw wskaźników.</w:t>
      </w:r>
    </w:p>
    <w:p w:rsidR="00DE6D43" w:rsidRPr="00AE35C1" w:rsidRDefault="005F2FC7" w:rsidP="00DE6D43">
      <w:pPr>
        <w:pStyle w:val="TEKST"/>
        <w:spacing w:after="0"/>
        <w:rPr>
          <w:rFonts w:cs="Calibri"/>
          <w:bCs/>
        </w:rPr>
      </w:pPr>
      <w:r w:rsidRPr="00AE35C1">
        <w:rPr>
          <w:rFonts w:cs="Calibri"/>
          <w:bCs/>
        </w:rPr>
        <w:t xml:space="preserve">Proces </w:t>
      </w:r>
      <w:r w:rsidR="00DE6D43" w:rsidRPr="00AE35C1">
        <w:rPr>
          <w:rFonts w:cs="Calibri"/>
          <w:bCs/>
        </w:rPr>
        <w:t xml:space="preserve">ewaluacji SRWD 2030 będzie natomiast realizowany poprzez następujące typy ewaluacji: ex </w:t>
      </w:r>
      <w:proofErr w:type="spellStart"/>
      <w:r w:rsidR="00DE6D43" w:rsidRPr="00AE35C1">
        <w:rPr>
          <w:rFonts w:cs="Calibri"/>
          <w:bCs/>
        </w:rPr>
        <w:t>ante</w:t>
      </w:r>
      <w:proofErr w:type="spellEnd"/>
      <w:r w:rsidR="00DE6D43" w:rsidRPr="00AE35C1">
        <w:rPr>
          <w:rFonts w:cs="Calibri"/>
          <w:bCs/>
        </w:rPr>
        <w:t xml:space="preserve">, ex post oraz w uzasadnionych sytuacjach ewaluacji </w:t>
      </w:r>
      <w:proofErr w:type="spellStart"/>
      <w:r w:rsidR="00DE6D43" w:rsidRPr="00AE35C1">
        <w:rPr>
          <w:rFonts w:cs="Calibri"/>
          <w:bCs/>
        </w:rPr>
        <w:t>on-going</w:t>
      </w:r>
      <w:proofErr w:type="spellEnd"/>
      <w:r w:rsidR="00DE6D43" w:rsidRPr="00AE35C1">
        <w:rPr>
          <w:rFonts w:cs="Calibri"/>
          <w:bCs/>
        </w:rPr>
        <w:t>.</w:t>
      </w:r>
    </w:p>
    <w:p w:rsidR="00DE6D43" w:rsidRPr="00AE35C1" w:rsidRDefault="00DA5FF9" w:rsidP="00DE6D43">
      <w:pPr>
        <w:pStyle w:val="TEKST"/>
        <w:numPr>
          <w:ilvl w:val="0"/>
          <w:numId w:val="11"/>
        </w:numPr>
        <w:spacing w:after="0"/>
        <w:rPr>
          <w:rFonts w:cs="Calibri"/>
          <w:bCs/>
        </w:rPr>
      </w:pPr>
      <w:r w:rsidRPr="00AE35C1">
        <w:rPr>
          <w:rFonts w:cs="Calibri"/>
          <w:bCs/>
        </w:rPr>
        <w:t>e</w:t>
      </w:r>
      <w:r w:rsidR="00DE6D43" w:rsidRPr="00AE35C1">
        <w:rPr>
          <w:rFonts w:cs="Calibri"/>
          <w:bCs/>
        </w:rPr>
        <w:t xml:space="preserve">waluacja ex </w:t>
      </w:r>
      <w:proofErr w:type="spellStart"/>
      <w:r w:rsidR="00DE6D43" w:rsidRPr="00AE35C1">
        <w:rPr>
          <w:rFonts w:cs="Calibri"/>
          <w:bCs/>
        </w:rPr>
        <w:t>ante</w:t>
      </w:r>
      <w:proofErr w:type="spellEnd"/>
      <w:r w:rsidR="00DE6D43" w:rsidRPr="00AE35C1">
        <w:rPr>
          <w:rFonts w:cs="Calibri"/>
          <w:bCs/>
        </w:rPr>
        <w:t>, zgodnie z zapisami ustawy o zasadach prowadzenia polityki rozwoju, będzie badała założenia realizacji strategii, jej skuteczności i efektywności przed jej przyjęciem;</w:t>
      </w:r>
    </w:p>
    <w:p w:rsidR="00DE6D43" w:rsidRPr="00AE35C1" w:rsidRDefault="00DA5FF9" w:rsidP="00DE6D43">
      <w:pPr>
        <w:pStyle w:val="TEKST"/>
        <w:numPr>
          <w:ilvl w:val="0"/>
          <w:numId w:val="11"/>
        </w:numPr>
        <w:spacing w:after="0"/>
        <w:rPr>
          <w:rFonts w:cs="Calibri"/>
          <w:bCs/>
        </w:rPr>
      </w:pPr>
      <w:r w:rsidRPr="00AE35C1">
        <w:rPr>
          <w:rFonts w:cs="Calibri"/>
          <w:bCs/>
        </w:rPr>
        <w:t>e</w:t>
      </w:r>
      <w:r w:rsidR="00DE6D43" w:rsidRPr="00AE35C1">
        <w:rPr>
          <w:rFonts w:cs="Calibri"/>
          <w:bCs/>
        </w:rPr>
        <w:t>waluacja ex post zostanie przeprowadzona po zakończeniu realizacji strategii;</w:t>
      </w:r>
    </w:p>
    <w:p w:rsidR="00DE6D43" w:rsidRPr="00AE35C1" w:rsidRDefault="00DA5FF9" w:rsidP="00DE6D43">
      <w:pPr>
        <w:pStyle w:val="TEKST"/>
        <w:numPr>
          <w:ilvl w:val="0"/>
          <w:numId w:val="11"/>
        </w:numPr>
        <w:spacing w:after="0"/>
        <w:rPr>
          <w:rFonts w:cs="Calibri"/>
          <w:bCs/>
        </w:rPr>
      </w:pPr>
      <w:r w:rsidRPr="00AE35C1">
        <w:rPr>
          <w:rFonts w:cs="Calibri"/>
          <w:bCs/>
        </w:rPr>
        <w:t>e</w:t>
      </w:r>
      <w:r w:rsidR="00DE6D43" w:rsidRPr="00AE35C1">
        <w:rPr>
          <w:rFonts w:cs="Calibri"/>
          <w:bCs/>
        </w:rPr>
        <w:t xml:space="preserve">waluacje </w:t>
      </w:r>
      <w:proofErr w:type="spellStart"/>
      <w:r w:rsidR="00DE6D43" w:rsidRPr="00AE35C1">
        <w:rPr>
          <w:rFonts w:cs="Calibri"/>
          <w:bCs/>
        </w:rPr>
        <w:t>on-going</w:t>
      </w:r>
      <w:proofErr w:type="spellEnd"/>
      <w:r w:rsidR="00DE6D43" w:rsidRPr="00AE35C1">
        <w:rPr>
          <w:rFonts w:cs="Calibri"/>
          <w:bCs/>
        </w:rPr>
        <w:t xml:space="preserve"> oceniające skuteczność, efektywność </w:t>
      </w:r>
      <w:r w:rsidR="00AA1F74" w:rsidRPr="00AE35C1">
        <w:rPr>
          <w:rFonts w:cs="Calibri"/>
          <w:bCs/>
        </w:rPr>
        <w:t>oraz wpływ danej interwencji na </w:t>
      </w:r>
      <w:r w:rsidR="00DE6D43" w:rsidRPr="00AE35C1">
        <w:rPr>
          <w:rFonts w:cs="Calibri"/>
          <w:bCs/>
        </w:rPr>
        <w:t>osiągnięcie celów SRWD 2030 mogą zostać przeprowadzone w zależności od pojawiających się potrzeb informacyjnych, które nie mogą zostać zaspokojone poprzez bieżący monitoring strategii.</w:t>
      </w:r>
    </w:p>
    <w:p w:rsidR="008F1847" w:rsidRPr="00AE35C1" w:rsidRDefault="00641928" w:rsidP="00D41A4A">
      <w:pPr>
        <w:pStyle w:val="Nagwek2"/>
      </w:pPr>
      <w:bookmarkStart w:id="70" w:name="_Toc511716335"/>
      <w:bookmarkStart w:id="71" w:name="_Toc358570240"/>
      <w:bookmarkStart w:id="72" w:name="_Toc358579859"/>
      <w:r w:rsidRPr="00AE35C1">
        <w:lastRenderedPageBreak/>
        <w:t>7.2</w:t>
      </w:r>
      <w:r w:rsidR="00AA1F74" w:rsidRPr="00AE35C1">
        <w:t xml:space="preserve"> </w:t>
      </w:r>
      <w:r w:rsidR="008F1847" w:rsidRPr="00AE35C1">
        <w:t>ZAŁOŻENIA INSTYTUCJONALNE</w:t>
      </w:r>
      <w:bookmarkEnd w:id="70"/>
    </w:p>
    <w:p w:rsidR="008F1847" w:rsidRPr="00AE35C1" w:rsidRDefault="008F1847" w:rsidP="005F49A2">
      <w:pPr>
        <w:pStyle w:val="TEKST"/>
        <w:spacing w:after="60"/>
        <w:rPr>
          <w:rFonts w:cs="Calibri"/>
          <w:bCs/>
        </w:rPr>
      </w:pPr>
      <w:r w:rsidRPr="00AE35C1">
        <w:rPr>
          <w:rFonts w:cs="Calibri"/>
          <w:bCs/>
        </w:rPr>
        <w:t xml:space="preserve">Głównym podmiotem odpowiedzialnym za prowadzenie procesu monitorowania realizacji </w:t>
      </w:r>
      <w:r w:rsidRPr="00AE35C1">
        <w:rPr>
          <w:rFonts w:cs="Calibri"/>
          <w:bCs/>
          <w:i/>
        </w:rPr>
        <w:t xml:space="preserve">SRWD </w:t>
      </w:r>
      <w:bookmarkEnd w:id="71"/>
      <w:bookmarkEnd w:id="72"/>
      <w:r w:rsidRPr="00AE35C1">
        <w:rPr>
          <w:rFonts w:cs="Calibri"/>
          <w:bCs/>
          <w:i/>
        </w:rPr>
        <w:t>2030</w:t>
      </w:r>
      <w:r w:rsidRPr="00AE35C1">
        <w:rPr>
          <w:rFonts w:cs="Calibri"/>
          <w:bCs/>
        </w:rPr>
        <w:t xml:space="preserve"> jest </w:t>
      </w:r>
      <w:r w:rsidRPr="00AE35C1">
        <w:rPr>
          <w:iCs/>
        </w:rPr>
        <w:t xml:space="preserve">Zarząd Województwa Dolnośląskiego, który realizować będzie ww. zadanie poprzez jednostki podległe: </w:t>
      </w:r>
      <w:r w:rsidRPr="00AE35C1">
        <w:rPr>
          <w:rFonts w:cs="Calibri"/>
          <w:iCs/>
        </w:rPr>
        <w:t xml:space="preserve">Komitet Koordynujący ds. SRWD, </w:t>
      </w:r>
      <w:r w:rsidRPr="00AE35C1">
        <w:rPr>
          <w:rFonts w:cs="Calibri"/>
          <w:bCs/>
        </w:rPr>
        <w:t>Departamenty UMWD, Insty</w:t>
      </w:r>
      <w:r w:rsidR="00FB62F2" w:rsidRPr="00AE35C1">
        <w:rPr>
          <w:rFonts w:cs="Calibri"/>
          <w:bCs/>
        </w:rPr>
        <w:t>tut Rozwoju Terytorialnego oraz </w:t>
      </w:r>
      <w:r w:rsidRPr="00AE35C1">
        <w:rPr>
          <w:rFonts w:cs="Calibri"/>
          <w:bCs/>
        </w:rPr>
        <w:t xml:space="preserve">właściwe jednostki i instytucje odpowiedzialne za wdrażanie Strategii oraz podmioty opiniodawczo-doradcze: </w:t>
      </w:r>
      <w:r w:rsidRPr="00AE35C1">
        <w:rPr>
          <w:rFonts w:cs="Calibri"/>
          <w:iCs/>
        </w:rPr>
        <w:t xml:space="preserve">Regionalne Forum Terytorialne. </w:t>
      </w:r>
      <w:r w:rsidRPr="00AE35C1">
        <w:rPr>
          <w:rFonts w:cs="Calibri"/>
          <w:b/>
          <w:bCs/>
        </w:rPr>
        <w:t>Zarząd Województwa Dolnośląskiego</w:t>
      </w:r>
      <w:r w:rsidRPr="00AE35C1">
        <w:rPr>
          <w:rFonts w:cs="Calibri"/>
          <w:bCs/>
        </w:rPr>
        <w:t xml:space="preserve">, będąc podmiotem odpowiedzialnym za wdrażanie </w:t>
      </w:r>
      <w:r w:rsidRPr="00AE35C1">
        <w:rPr>
          <w:rFonts w:cs="Calibri"/>
          <w:bCs/>
          <w:i/>
        </w:rPr>
        <w:t>Strategii</w:t>
      </w:r>
      <w:r w:rsidRPr="00AE35C1">
        <w:rPr>
          <w:rFonts w:cs="Calibri"/>
          <w:bCs/>
        </w:rPr>
        <w:t xml:space="preserve">, w celu uzyskania efektu synergii w procesie realizacji, będzie współpracował zarówno z zależnymi, jak i niezależnymi regionalnymi interesariuszami, mającymi wpływ na realizację polityki rozwoju  województwa. </w:t>
      </w:r>
      <w:r w:rsidRPr="00AE35C1">
        <w:rPr>
          <w:rFonts w:cs="Calibri"/>
          <w:b/>
          <w:bCs/>
        </w:rPr>
        <w:t>Komitet Koordynujący ds. SRWD</w:t>
      </w:r>
      <w:r w:rsidRPr="00AE35C1">
        <w:rPr>
          <w:rFonts w:cs="Calibri"/>
          <w:bCs/>
        </w:rPr>
        <w:t xml:space="preserve"> pełnić będzie nadzór merytoryczny, obejmujący konsultacje metodologii działań monitoringowych i ewaluacyjnych, będzie również odgrywać istotną rolę w monitorowaniu i ocenie realizo</w:t>
      </w:r>
      <w:r w:rsidR="005F2FC7" w:rsidRPr="00AE35C1">
        <w:rPr>
          <w:rFonts w:cs="Calibri"/>
          <w:bCs/>
        </w:rPr>
        <w:t>wanych polityk i </w:t>
      </w:r>
      <w:r w:rsidR="00FB62F2" w:rsidRPr="00AE35C1">
        <w:rPr>
          <w:rFonts w:cs="Calibri"/>
          <w:bCs/>
        </w:rPr>
        <w:t>programów oraz </w:t>
      </w:r>
      <w:r w:rsidRPr="00AE35C1">
        <w:rPr>
          <w:rFonts w:cs="Calibri"/>
          <w:bCs/>
        </w:rPr>
        <w:t xml:space="preserve">zmianach w zakresie realizacji </w:t>
      </w:r>
      <w:r w:rsidRPr="00AE35C1">
        <w:rPr>
          <w:rFonts w:cs="Calibri"/>
          <w:bCs/>
          <w:i/>
        </w:rPr>
        <w:t>Strategii</w:t>
      </w:r>
      <w:r w:rsidRPr="00AE35C1">
        <w:rPr>
          <w:rFonts w:cs="Calibri"/>
          <w:bCs/>
        </w:rPr>
        <w:t xml:space="preserve">. </w:t>
      </w:r>
      <w:r w:rsidRPr="00AE35C1">
        <w:rPr>
          <w:rFonts w:cs="Calibri"/>
          <w:b/>
          <w:bCs/>
        </w:rPr>
        <w:t>Regionalne Forum Terytorialne</w:t>
      </w:r>
      <w:r w:rsidRPr="00AE35C1">
        <w:rPr>
          <w:rFonts w:cs="Calibri"/>
          <w:bCs/>
        </w:rPr>
        <w:t xml:space="preserve"> (RFT), koordynujące proces zarządzania strategicznego na poziomie całego województwa, stanowić będzie natomiast główne gremium opiniodawczo-doradcze oraz eksperckie dla Zarządu Woje</w:t>
      </w:r>
      <w:r w:rsidR="00FB62F2" w:rsidRPr="00AE35C1">
        <w:rPr>
          <w:rFonts w:cs="Calibri"/>
          <w:bCs/>
        </w:rPr>
        <w:t>wództwa Dolnośląskiego. Głównym </w:t>
      </w:r>
      <w:r w:rsidRPr="00AE35C1">
        <w:rPr>
          <w:rFonts w:cs="Calibri"/>
          <w:bCs/>
        </w:rPr>
        <w:t xml:space="preserve">podmiotem odpowiedzialnym za monitorowanie i ewaluację zaktualizowanej </w:t>
      </w:r>
      <w:r w:rsidRPr="00AE35C1">
        <w:rPr>
          <w:rFonts w:cs="Calibri"/>
          <w:bCs/>
          <w:i/>
        </w:rPr>
        <w:t>Strategii</w:t>
      </w:r>
      <w:r w:rsidRPr="00AE35C1">
        <w:rPr>
          <w:rFonts w:cs="Calibri"/>
          <w:bCs/>
        </w:rPr>
        <w:t xml:space="preserve">, będzie </w:t>
      </w:r>
      <w:r w:rsidRPr="00AE35C1">
        <w:rPr>
          <w:rFonts w:cs="Calibri"/>
          <w:b/>
          <w:bCs/>
        </w:rPr>
        <w:t>Instytut Rozwoju Terytorialnego</w:t>
      </w:r>
      <w:r w:rsidRPr="00AE35C1">
        <w:rPr>
          <w:rFonts w:cs="Calibri"/>
          <w:bCs/>
        </w:rPr>
        <w:t xml:space="preserve"> (IRT), a podejmowane działania prowadzić będzie wraz z</w:t>
      </w:r>
      <w:r w:rsidR="005F2FC7" w:rsidRPr="00AE35C1">
        <w:rPr>
          <w:rFonts w:cs="Calibri"/>
          <w:bCs/>
        </w:rPr>
        <w:t> </w:t>
      </w:r>
      <w:r w:rsidRPr="00AE35C1">
        <w:rPr>
          <w:rFonts w:cs="Calibri"/>
          <w:bCs/>
        </w:rPr>
        <w:t xml:space="preserve">siecią podmiotów współpracujących, w ramach której powinny zachodzić dwukierunkowe interakcje, obejmujące współpracę merytoryczną, raportowanie i sprawozdawczość oraz wymianę danych i informacji, konsultacje, analizy, zalecenia i rekomendacje. </w:t>
      </w:r>
    </w:p>
    <w:p w:rsidR="008F1847" w:rsidRPr="00AE35C1" w:rsidRDefault="00641928" w:rsidP="00D41A4A">
      <w:pPr>
        <w:pStyle w:val="Nagwek2"/>
        <w:spacing w:before="400"/>
      </w:pPr>
      <w:bookmarkStart w:id="73" w:name="_Toc511716336"/>
      <w:r w:rsidRPr="00AE35C1">
        <w:t>7.3</w:t>
      </w:r>
      <w:r w:rsidR="00AA1F74" w:rsidRPr="00AE35C1">
        <w:t xml:space="preserve"> </w:t>
      </w:r>
      <w:r w:rsidR="008F1847" w:rsidRPr="00AE35C1">
        <w:t>INSTRUMENTY MONITORINGU SRWD</w:t>
      </w:r>
      <w:bookmarkEnd w:id="73"/>
      <w:r w:rsidR="008F1847" w:rsidRPr="00AE35C1">
        <w:t xml:space="preserve"> </w:t>
      </w:r>
    </w:p>
    <w:p w:rsidR="008F1847" w:rsidRPr="00AE35C1" w:rsidRDefault="008F1847" w:rsidP="005F49A2">
      <w:pPr>
        <w:pStyle w:val="TEKST"/>
        <w:spacing w:after="0"/>
        <w:rPr>
          <w:rFonts w:cs="Calibri"/>
          <w:bCs/>
        </w:rPr>
      </w:pPr>
      <w:r w:rsidRPr="00AE35C1">
        <w:rPr>
          <w:rFonts w:cs="Calibri"/>
          <w:bCs/>
        </w:rPr>
        <w:t xml:space="preserve">Podstawowymi instrumentami monitoringu, służącymi realizacji efektywnej sprawozdawczości służyć będą </w:t>
      </w:r>
      <w:r w:rsidRPr="00AE35C1">
        <w:rPr>
          <w:rFonts w:cs="Calibri"/>
          <w:b/>
          <w:bCs/>
        </w:rPr>
        <w:t xml:space="preserve">raporty monitoringowe: </w:t>
      </w:r>
      <w:r w:rsidRPr="00AE35C1">
        <w:rPr>
          <w:rFonts w:cs="Calibri"/>
          <w:bCs/>
          <w:i/>
        </w:rPr>
        <w:t>Raport o stanie zagospodarowania przestrzennego i rozwoju społeczno-gospodarczym województwa dolnośląskiego</w:t>
      </w:r>
      <w:r w:rsidRPr="00AE35C1">
        <w:rPr>
          <w:rFonts w:cs="Calibri"/>
          <w:bCs/>
        </w:rPr>
        <w:t xml:space="preserve"> oraz </w:t>
      </w:r>
      <w:r w:rsidRPr="00AE35C1">
        <w:rPr>
          <w:rFonts w:cs="Calibri"/>
          <w:bCs/>
          <w:i/>
        </w:rPr>
        <w:t>Raport z realizacji strategii rozwoju województwa dolnośląskiego 2030</w:t>
      </w:r>
      <w:r w:rsidRPr="00AE35C1">
        <w:rPr>
          <w:rFonts w:cs="Calibri"/>
          <w:bCs/>
        </w:rPr>
        <w:t xml:space="preserve">. Będą one stanowić narzędzie wspomagające podejmowanie decyzji przez Zarząd Województwa Dolnośląskiego w sprawach związanych z realizacją </w:t>
      </w:r>
      <w:r w:rsidRPr="00AE35C1">
        <w:rPr>
          <w:rFonts w:cs="Calibri"/>
          <w:bCs/>
          <w:i/>
        </w:rPr>
        <w:t>Strategii</w:t>
      </w:r>
      <w:r w:rsidRPr="00AE35C1">
        <w:rPr>
          <w:rFonts w:cs="Calibri"/>
          <w:bCs/>
        </w:rPr>
        <w:t xml:space="preserve"> i pozwolą na dostosowanie podejmowanych działań do zdiagnozowanych potrzeb oraz zmieniających się warunków społeczno-gospodarczych. Stanowić też będą podstawę do prac aktualizujących </w:t>
      </w:r>
      <w:r w:rsidRPr="00AE35C1">
        <w:rPr>
          <w:rFonts w:cs="Calibri"/>
          <w:bCs/>
          <w:i/>
        </w:rPr>
        <w:t>Strategię</w:t>
      </w:r>
      <w:r w:rsidRPr="00AE35C1">
        <w:rPr>
          <w:rFonts w:cs="Calibri"/>
          <w:bCs/>
        </w:rPr>
        <w:t>, w tym także przedłużających okres jej obowiązywania kolejne lata. Wdrożenie cyklicznego raportowania odpowiadać będzie na potrzeby głównych jego odbiorców, pełniąc funkcj</w:t>
      </w:r>
      <w:r w:rsidR="00AA1F74" w:rsidRPr="00AE35C1">
        <w:rPr>
          <w:rFonts w:cs="Calibri"/>
          <w:bCs/>
        </w:rPr>
        <w:t>ę analityczną, rekomendacyjną i </w:t>
      </w:r>
      <w:r w:rsidRPr="00AE35C1">
        <w:rPr>
          <w:rFonts w:cs="Calibri"/>
          <w:bCs/>
        </w:rPr>
        <w:t>informacyjno-promocyjną, a</w:t>
      </w:r>
      <w:r w:rsidR="00D41A4A" w:rsidRPr="00AE35C1">
        <w:rPr>
          <w:rFonts w:cs="Calibri"/>
          <w:bCs/>
        </w:rPr>
        <w:t> </w:t>
      </w:r>
      <w:r w:rsidRPr="00AE35C1">
        <w:rPr>
          <w:rFonts w:cs="Calibri"/>
          <w:bCs/>
        </w:rPr>
        <w:t xml:space="preserve">odpowiedzialność za raportowanie ponosić będą wszystkie podmioty zaangażowane w realizację </w:t>
      </w:r>
      <w:r w:rsidRPr="00AE35C1">
        <w:rPr>
          <w:rFonts w:cs="Calibri"/>
          <w:bCs/>
          <w:i/>
        </w:rPr>
        <w:t>Strategii</w:t>
      </w:r>
      <w:r w:rsidRPr="00AE35C1">
        <w:rPr>
          <w:rFonts w:cs="Calibri"/>
          <w:bCs/>
        </w:rPr>
        <w:t>.</w:t>
      </w:r>
    </w:p>
    <w:p w:rsidR="008F1847" w:rsidRPr="00AE35C1" w:rsidRDefault="008F1847" w:rsidP="00FB62F2">
      <w:pPr>
        <w:pStyle w:val="TEKST"/>
        <w:spacing w:before="120" w:after="60"/>
        <w:rPr>
          <w:rFonts w:cs="Calibri"/>
          <w:bCs/>
        </w:rPr>
      </w:pPr>
      <w:r w:rsidRPr="00AE35C1">
        <w:rPr>
          <w:rFonts w:cs="Calibri"/>
          <w:b/>
          <w:bCs/>
        </w:rPr>
        <w:t xml:space="preserve">Raport o stanie zagospodarowania przestrzennego i rozwoju społeczno-gospodarczym województwa dolnośląskiego </w:t>
      </w:r>
      <w:r w:rsidRPr="00AE35C1">
        <w:rPr>
          <w:rFonts w:cs="Calibri"/>
          <w:bCs/>
        </w:rPr>
        <w:t>w syntetycznym ujęciu obejmować będzie charakterystykę stanu rozwoju społeczno-gospodarczego województwa na tle kraju i Europy. Wskaże on również główne tendencje w</w:t>
      </w:r>
      <w:r w:rsidR="005F2FC7" w:rsidRPr="00AE35C1">
        <w:rPr>
          <w:rFonts w:cs="Calibri"/>
          <w:bCs/>
        </w:rPr>
        <w:t> </w:t>
      </w:r>
      <w:r w:rsidRPr="00AE35C1">
        <w:rPr>
          <w:rFonts w:cs="Calibri"/>
          <w:bCs/>
        </w:rPr>
        <w:t xml:space="preserve">rozwoju poszczególnych dziedzin życia społeczno-gospodarczego i uwzględni podstawowe uwarunkowania przestrzenne. </w:t>
      </w:r>
      <w:bookmarkStart w:id="74" w:name="top"/>
      <w:r w:rsidRPr="00AE35C1">
        <w:rPr>
          <w:rFonts w:cs="Calibri"/>
          <w:bCs/>
        </w:rPr>
        <w:t>Zakres tematyczny obejmie między innymi procesy zachodzące w gospodarce narodowej na terenie województwa, z uwzględnieniem zjawisk istotnych z</w:t>
      </w:r>
      <w:r w:rsidR="006D13A7" w:rsidRPr="00AE35C1">
        <w:rPr>
          <w:rFonts w:cs="Calibri"/>
          <w:bCs/>
        </w:rPr>
        <w:t> </w:t>
      </w:r>
      <w:r w:rsidRPr="00AE35C1">
        <w:rPr>
          <w:rFonts w:cs="Calibri"/>
          <w:bCs/>
        </w:rPr>
        <w:t xml:space="preserve">punktu widzenia rozwoju: procesów demograficznych, rynku pracy i gospodarki. Monitoring sytuacji społeczno-gospodarczej i zagospodarowania przestrzennego, oparty na statystyce, analizach i  badaniach, umożliwi uchwycenie zachodzących zmian </w:t>
      </w:r>
      <w:r w:rsidR="00765292" w:rsidRPr="00AE35C1">
        <w:rPr>
          <w:rFonts w:cs="Calibri"/>
          <w:bCs/>
        </w:rPr>
        <w:t>oraz ocenę</w:t>
      </w:r>
      <w:r w:rsidRPr="00AE35C1">
        <w:rPr>
          <w:rFonts w:cs="Calibri"/>
          <w:bCs/>
        </w:rPr>
        <w:t xml:space="preserve"> szans i zagrożeń, pozwalających na wsparcie procesów decyzyjno-strategicznych. </w:t>
      </w:r>
    </w:p>
    <w:p w:rsidR="008F1847" w:rsidRPr="00AE35C1" w:rsidRDefault="008F1847" w:rsidP="00AA1F74">
      <w:pPr>
        <w:pStyle w:val="TEKST"/>
        <w:spacing w:before="60" w:after="120"/>
        <w:rPr>
          <w:rFonts w:cs="Calibri"/>
          <w:bCs/>
        </w:rPr>
      </w:pPr>
      <w:r w:rsidRPr="00AE35C1">
        <w:rPr>
          <w:rFonts w:cs="Calibri"/>
          <w:bCs/>
        </w:rPr>
        <w:t xml:space="preserve">Raport przygotowywany będzie w cyklu trzyletnim. Jednostką odpowiedzialną za przygotowanie raportu będzie Instytut Rozwoju Terytorialnego. Wśród jednostek współpracujących przy jego opracowaniu wymienić </w:t>
      </w:r>
      <w:r w:rsidR="00765292" w:rsidRPr="00AE35C1">
        <w:rPr>
          <w:rFonts w:cs="Calibri"/>
          <w:bCs/>
        </w:rPr>
        <w:t>należy w</w:t>
      </w:r>
      <w:r w:rsidRPr="00AE35C1">
        <w:rPr>
          <w:rFonts w:cs="Calibri"/>
          <w:bCs/>
        </w:rPr>
        <w:t xml:space="preserve"> szczególności Departamenty i Wydziały Urzędu Marszałkowskiego Województwa </w:t>
      </w:r>
      <w:r w:rsidRPr="00AE35C1">
        <w:rPr>
          <w:rFonts w:cs="Calibri"/>
          <w:bCs/>
        </w:rPr>
        <w:lastRenderedPageBreak/>
        <w:t>Dolnośląskiego oraz podlegające mu jednostki. Dokument ten będzie powstawał w</w:t>
      </w:r>
      <w:r w:rsidR="006D13A7" w:rsidRPr="00AE35C1">
        <w:rPr>
          <w:rFonts w:cs="Calibri"/>
          <w:bCs/>
        </w:rPr>
        <w:t> </w:t>
      </w:r>
      <w:r w:rsidR="005F2FC7" w:rsidRPr="00AE35C1">
        <w:rPr>
          <w:rFonts w:cs="Calibri"/>
          <w:bCs/>
        </w:rPr>
        <w:t>oparciu o </w:t>
      </w:r>
      <w:r w:rsidRPr="00AE35C1">
        <w:rPr>
          <w:rFonts w:cs="Calibri"/>
          <w:bCs/>
        </w:rPr>
        <w:t xml:space="preserve">dane pochodzące ze statystyki ogólnej (GUS, BDL) oraz informacji pozyskanych od podmiotów współpracujących. </w:t>
      </w:r>
    </w:p>
    <w:bookmarkEnd w:id="74"/>
    <w:p w:rsidR="008F1847" w:rsidRPr="00AE35C1" w:rsidRDefault="008F1847" w:rsidP="00AA1F74">
      <w:pPr>
        <w:pStyle w:val="TEKST"/>
        <w:spacing w:before="120" w:after="120"/>
        <w:rPr>
          <w:rFonts w:cs="Calibri"/>
          <w:bCs/>
        </w:rPr>
      </w:pPr>
      <w:r w:rsidRPr="00AE35C1">
        <w:rPr>
          <w:rFonts w:cs="Calibri"/>
          <w:b/>
          <w:bCs/>
        </w:rPr>
        <w:t>Raport z realizacji Strategii Rozwoju Województwa Dolnośląskiego 2030</w:t>
      </w:r>
      <w:r w:rsidRPr="00AE35C1">
        <w:rPr>
          <w:rFonts w:cs="Calibri"/>
          <w:bCs/>
        </w:rPr>
        <w:t xml:space="preserve"> stanowić będzie podstawowy element właściwego monitoringu i ewaluacji dokumentu </w:t>
      </w:r>
      <w:r w:rsidRPr="00AE35C1">
        <w:rPr>
          <w:rFonts w:cs="Calibri"/>
          <w:bCs/>
          <w:i/>
        </w:rPr>
        <w:t>Strategii</w:t>
      </w:r>
      <w:r w:rsidRPr="00AE35C1">
        <w:rPr>
          <w:rFonts w:cs="Calibri"/>
          <w:bCs/>
        </w:rPr>
        <w:t xml:space="preserve">. Raport ten, poprzez monitoring wybranych wskaźników, wskazywać będzie na stan realizacji </w:t>
      </w:r>
      <w:r w:rsidRPr="00AE35C1">
        <w:rPr>
          <w:rFonts w:cs="Calibri"/>
          <w:bCs/>
          <w:i/>
        </w:rPr>
        <w:t>Strategii</w:t>
      </w:r>
      <w:r w:rsidRPr="00AE35C1">
        <w:rPr>
          <w:rFonts w:cs="Calibri"/>
          <w:bCs/>
        </w:rPr>
        <w:t xml:space="preserve"> </w:t>
      </w:r>
      <w:r w:rsidR="00765292" w:rsidRPr="00AE35C1">
        <w:rPr>
          <w:rFonts w:cs="Calibri"/>
          <w:bCs/>
        </w:rPr>
        <w:t>oraz pozwoli na ocenę stopnia i </w:t>
      </w:r>
      <w:r w:rsidRPr="00AE35C1">
        <w:rPr>
          <w:rFonts w:cs="Calibri"/>
          <w:bCs/>
        </w:rPr>
        <w:t xml:space="preserve">dynamiki postępu w realizacji przyjętych celów. Raport ten zawierać będzie również pełen zestaw informacji na temat działań podejmowanych na terenie województwa dolnośląskiego zarówno przez samorząd województwa, jak i władze krajowe. Będzie mógł więc stanowić podstawę podejmowania działań korygujących, w tym </w:t>
      </w:r>
      <w:r w:rsidR="00765292" w:rsidRPr="00AE35C1">
        <w:rPr>
          <w:rFonts w:cs="Calibri"/>
          <w:bCs/>
        </w:rPr>
        <w:t>usuwania ewentualnych</w:t>
      </w:r>
      <w:r w:rsidRPr="00AE35C1">
        <w:rPr>
          <w:rFonts w:cs="Calibri"/>
          <w:bCs/>
        </w:rPr>
        <w:t xml:space="preserve"> nieprawidłowości w wydatkowaniu środków wojewódzkich i unijnych. </w:t>
      </w:r>
    </w:p>
    <w:p w:rsidR="008F1847" w:rsidRPr="00AE35C1" w:rsidRDefault="008F1847" w:rsidP="00AA1F74">
      <w:pPr>
        <w:pStyle w:val="TEKST"/>
        <w:spacing w:after="0"/>
        <w:rPr>
          <w:rFonts w:cs="Calibri"/>
          <w:bCs/>
        </w:rPr>
      </w:pPr>
      <w:r w:rsidRPr="00AE35C1">
        <w:rPr>
          <w:rFonts w:cs="Calibri"/>
          <w:bCs/>
        </w:rPr>
        <w:t>Raport opracowywany będzie w cyklu trzyletnim. Zostanie on opracowywany przez Instytut Rozwoju Terytorialnego na podstawie ogólnie dostępnych danych statystycznych oraz danych dostarczonych przez poszczególne Departamenty i Wydziały Urzędu Marszałkowskiego Województwa Dolnośląskiego o</w:t>
      </w:r>
      <w:r w:rsidR="003A0D67" w:rsidRPr="00AE35C1">
        <w:rPr>
          <w:rFonts w:cs="Calibri"/>
          <w:bCs/>
        </w:rPr>
        <w:t>raz </w:t>
      </w:r>
      <w:r w:rsidRPr="00AE35C1">
        <w:rPr>
          <w:rFonts w:cs="Calibri"/>
          <w:bCs/>
        </w:rPr>
        <w:t xml:space="preserve">podlegające mu jednostki zaangażowane w realizację zapisów </w:t>
      </w:r>
      <w:r w:rsidRPr="00AE35C1">
        <w:rPr>
          <w:rFonts w:cs="Calibri"/>
          <w:bCs/>
          <w:i/>
        </w:rPr>
        <w:t>Strategii</w:t>
      </w:r>
      <w:r w:rsidRPr="00AE35C1">
        <w:rPr>
          <w:rFonts w:cs="Calibri"/>
          <w:bCs/>
        </w:rPr>
        <w:t xml:space="preserve">. </w:t>
      </w:r>
      <w:r w:rsidRPr="00AE35C1">
        <w:rPr>
          <w:rFonts w:cs="Calibri"/>
          <w:bCs/>
          <w:i/>
        </w:rPr>
        <w:t xml:space="preserve">Raport z realizacji Strategii Rozwoju Województwa </w:t>
      </w:r>
      <w:r w:rsidR="00765292" w:rsidRPr="00AE35C1">
        <w:rPr>
          <w:rFonts w:cs="Calibri"/>
          <w:bCs/>
          <w:i/>
        </w:rPr>
        <w:t>Dolnośląskiego 2030</w:t>
      </w:r>
      <w:r w:rsidR="00765292" w:rsidRPr="00AE35C1">
        <w:rPr>
          <w:rFonts w:cs="Calibri"/>
          <w:bCs/>
        </w:rPr>
        <w:t xml:space="preserve"> przedkładany</w:t>
      </w:r>
      <w:r w:rsidRPr="00AE35C1">
        <w:rPr>
          <w:rFonts w:cs="Calibri"/>
          <w:bCs/>
        </w:rPr>
        <w:t xml:space="preserve"> będzie do zatwierdzenia Zarządowi Województwa Dolnośląskiego. Następnie zostanie przedłożony do zapoznania Sejmikowi Województwa Dolnośląskiego, Regionalnemu Forum Terytorialnemu oraz opinii publicznej.</w:t>
      </w:r>
    </w:p>
    <w:p w:rsidR="005D557C" w:rsidRPr="00AE35C1" w:rsidRDefault="008F1847" w:rsidP="00DE1684">
      <w:pPr>
        <w:pStyle w:val="TEKST"/>
        <w:spacing w:before="120" w:after="0"/>
        <w:rPr>
          <w:rFonts w:cs="Calibri"/>
          <w:bCs/>
        </w:rPr>
      </w:pPr>
      <w:r w:rsidRPr="00AE35C1">
        <w:rPr>
          <w:rFonts w:cs="Calibri"/>
          <w:bCs/>
        </w:rPr>
        <w:t xml:space="preserve">Bieżący monitoring obejmować będzie rokroczne opracowanie </w:t>
      </w:r>
      <w:r w:rsidRPr="00AE35C1">
        <w:rPr>
          <w:rFonts w:cs="Calibri"/>
          <w:b/>
          <w:bCs/>
        </w:rPr>
        <w:t xml:space="preserve">Sprawozdania z realizacji Strategii rozwoju Województwa Dolnośląskiego 2030, </w:t>
      </w:r>
      <w:r w:rsidRPr="00AE35C1">
        <w:rPr>
          <w:rFonts w:cs="Calibri"/>
          <w:bCs/>
        </w:rPr>
        <w:t>zawierającego syntetyczną informację na temat realizacji celów strategicznych, podjętych d</w:t>
      </w:r>
      <w:r w:rsidR="003A0D67" w:rsidRPr="00AE35C1">
        <w:rPr>
          <w:rFonts w:cs="Calibri"/>
          <w:bCs/>
        </w:rPr>
        <w:t xml:space="preserve">ziałań i uzyskanych produktów. </w:t>
      </w:r>
    </w:p>
    <w:p w:rsidR="008F1847" w:rsidRPr="00AE35C1" w:rsidRDefault="00641928" w:rsidP="00DE6D43">
      <w:pPr>
        <w:pStyle w:val="Nagwek2"/>
        <w:spacing w:before="300"/>
      </w:pPr>
      <w:bookmarkStart w:id="75" w:name="_Toc511716337"/>
      <w:r w:rsidRPr="00AE35C1">
        <w:t>7.4</w:t>
      </w:r>
      <w:r w:rsidR="00AA1F74" w:rsidRPr="00AE35C1">
        <w:t xml:space="preserve"> </w:t>
      </w:r>
      <w:r w:rsidR="008F1847" w:rsidRPr="00AE35C1">
        <w:t>MONITORING REALIZACJI</w:t>
      </w:r>
      <w:bookmarkEnd w:id="75"/>
      <w:r w:rsidR="008F1847" w:rsidRPr="00AE35C1">
        <w:t xml:space="preserve"> </w:t>
      </w:r>
    </w:p>
    <w:p w:rsidR="008F1847" w:rsidRPr="00AE35C1" w:rsidRDefault="008F1847" w:rsidP="005F49A2">
      <w:pPr>
        <w:pStyle w:val="TEKST"/>
        <w:spacing w:after="60"/>
        <w:rPr>
          <w:rFonts w:cs="Calibri"/>
          <w:bCs/>
        </w:rPr>
      </w:pPr>
      <w:r w:rsidRPr="00AE35C1">
        <w:rPr>
          <w:rFonts w:cs="Calibri"/>
          <w:bCs/>
        </w:rPr>
        <w:t xml:space="preserve">Dobór właściwych wskaźników, mierzalnych i dostępnych w statystyce publicznej lub w wewnętrznym systemie sprawozdawczości UMWD, umożliwiać będzie efektywne monitorowanie procesu wdrażania </w:t>
      </w:r>
      <w:r w:rsidRPr="00AE35C1">
        <w:rPr>
          <w:rFonts w:cs="Calibri"/>
          <w:bCs/>
          <w:i/>
        </w:rPr>
        <w:t>SRWD</w:t>
      </w:r>
      <w:r w:rsidRPr="00AE35C1">
        <w:rPr>
          <w:rFonts w:cs="Calibri"/>
          <w:bCs/>
        </w:rPr>
        <w:t xml:space="preserve"> </w:t>
      </w:r>
      <w:r w:rsidRPr="00AE35C1">
        <w:rPr>
          <w:rFonts w:cs="Calibri"/>
          <w:bCs/>
          <w:i/>
        </w:rPr>
        <w:t xml:space="preserve">2030. </w:t>
      </w:r>
      <w:r w:rsidRPr="00AE35C1">
        <w:rPr>
          <w:rFonts w:cs="Calibri"/>
          <w:bCs/>
        </w:rPr>
        <w:t xml:space="preserve">Zdefiniowane wskaźniki monitoringu odnoszące się do każdego celu strategicznego </w:t>
      </w:r>
      <w:r w:rsidRPr="00AE35C1">
        <w:rPr>
          <w:rFonts w:cs="Calibri"/>
          <w:bCs/>
          <w:i/>
        </w:rPr>
        <w:t xml:space="preserve">SRWD 2030 </w:t>
      </w:r>
      <w:r w:rsidRPr="00AE35C1">
        <w:rPr>
          <w:rFonts w:cs="Calibri"/>
          <w:bCs/>
        </w:rPr>
        <w:t xml:space="preserve">mają charakter ilościowy odnosząc się do rezultatów realizacji. Ich uzupełnieniem będą informacje nt. bezpośrednich produktów powstałych podczas realizacji </w:t>
      </w:r>
      <w:r w:rsidRPr="00AE35C1">
        <w:rPr>
          <w:rFonts w:cs="Calibri"/>
          <w:bCs/>
          <w:i/>
        </w:rPr>
        <w:t>Strategii</w:t>
      </w:r>
      <w:r w:rsidRPr="00AE35C1">
        <w:rPr>
          <w:rFonts w:cs="Calibri"/>
          <w:bCs/>
        </w:rPr>
        <w:t xml:space="preserve">. </w:t>
      </w:r>
    </w:p>
    <w:p w:rsidR="008F1847" w:rsidRPr="00AE35C1" w:rsidRDefault="008F1847" w:rsidP="005F49A2">
      <w:pPr>
        <w:pStyle w:val="TABELA"/>
        <w:spacing w:before="120" w:after="0" w:line="288" w:lineRule="auto"/>
        <w:rPr>
          <w:rFonts w:ascii="Calibri" w:hAnsi="Calibri"/>
          <w:b/>
          <w:color w:val="000000"/>
          <w:sz w:val="18"/>
        </w:rPr>
      </w:pPr>
      <w:r w:rsidRPr="00AE35C1">
        <w:rPr>
          <w:rFonts w:ascii="Calibri" w:hAnsi="Calibri"/>
          <w:b/>
          <w:color w:val="000000"/>
          <w:sz w:val="18"/>
        </w:rPr>
        <w:t>MACIERZ WSKAŹNIKÓW</w:t>
      </w:r>
    </w:p>
    <w:tbl>
      <w:tblPr>
        <w:tblW w:w="9475"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shd w:val="clear" w:color="auto" w:fill="D9D9D9"/>
        <w:tblLook w:val="04A0"/>
      </w:tblPr>
      <w:tblGrid>
        <w:gridCol w:w="302"/>
        <w:gridCol w:w="1100"/>
        <w:gridCol w:w="434"/>
        <w:gridCol w:w="4282"/>
        <w:gridCol w:w="1059"/>
        <w:gridCol w:w="500"/>
        <w:gridCol w:w="835"/>
        <w:gridCol w:w="963"/>
      </w:tblGrid>
      <w:tr w:rsidR="00D113CA" w:rsidRPr="00AE35C1" w:rsidTr="00D113CA">
        <w:trPr>
          <w:cantSplit/>
          <w:trHeight w:val="1158"/>
          <w:tblHeader/>
        </w:trPr>
        <w:tc>
          <w:tcPr>
            <w:tcW w:w="0" w:type="auto"/>
            <w:shd w:val="clear" w:color="auto" w:fill="D9D9D9"/>
            <w:vAlign w:val="center"/>
          </w:tcPr>
          <w:p w:rsidR="00AF1499" w:rsidRPr="00AE35C1" w:rsidRDefault="00AF1499" w:rsidP="00FD0968">
            <w:pPr>
              <w:spacing w:before="40" w:after="40" w:line="288" w:lineRule="auto"/>
              <w:ind w:right="-108"/>
              <w:jc w:val="center"/>
              <w:rPr>
                <w:rFonts w:ascii="Century Gothic" w:hAnsi="Century Gothic"/>
                <w:b/>
                <w:color w:val="000000"/>
                <w:sz w:val="14"/>
                <w:szCs w:val="14"/>
              </w:rPr>
            </w:pPr>
            <w:r w:rsidRPr="00AE35C1">
              <w:rPr>
                <w:rFonts w:ascii="Century Gothic" w:hAnsi="Century Gothic"/>
                <w:b/>
                <w:color w:val="000000"/>
                <w:sz w:val="14"/>
                <w:szCs w:val="14"/>
              </w:rPr>
              <w:t>Lp.</w:t>
            </w:r>
          </w:p>
        </w:tc>
        <w:tc>
          <w:tcPr>
            <w:tcW w:w="0" w:type="auto"/>
            <w:shd w:val="clear" w:color="auto" w:fill="D9D9D9"/>
            <w:vAlign w:val="center"/>
          </w:tcPr>
          <w:p w:rsidR="00AF1499" w:rsidRPr="00AE35C1" w:rsidRDefault="00AF1499" w:rsidP="00F67CF0">
            <w:pPr>
              <w:spacing w:before="40" w:after="40" w:line="288" w:lineRule="auto"/>
              <w:jc w:val="center"/>
              <w:rPr>
                <w:rFonts w:ascii="Century Gothic" w:hAnsi="Century Gothic"/>
                <w:b/>
                <w:color w:val="000000"/>
                <w:sz w:val="14"/>
                <w:szCs w:val="14"/>
              </w:rPr>
            </w:pPr>
            <w:r w:rsidRPr="00AE35C1">
              <w:rPr>
                <w:rFonts w:ascii="Century Gothic" w:hAnsi="Century Gothic"/>
                <w:b/>
                <w:color w:val="000000"/>
                <w:sz w:val="14"/>
                <w:szCs w:val="14"/>
              </w:rPr>
              <w:t>Cel strategiczny</w:t>
            </w:r>
          </w:p>
        </w:tc>
        <w:tc>
          <w:tcPr>
            <w:tcW w:w="0" w:type="auto"/>
            <w:shd w:val="clear" w:color="auto" w:fill="D9D9D9"/>
            <w:textDirection w:val="btLr"/>
            <w:vAlign w:val="center"/>
          </w:tcPr>
          <w:p w:rsidR="00AF1499" w:rsidRPr="00AE35C1" w:rsidRDefault="00AF1499" w:rsidP="00AF1499">
            <w:pPr>
              <w:spacing w:after="0" w:line="288" w:lineRule="auto"/>
              <w:ind w:left="113" w:right="113"/>
              <w:jc w:val="center"/>
              <w:rPr>
                <w:rFonts w:ascii="Century Gothic" w:hAnsi="Century Gothic"/>
                <w:b/>
                <w:color w:val="000000"/>
                <w:sz w:val="14"/>
                <w:szCs w:val="14"/>
              </w:rPr>
            </w:pPr>
            <w:r>
              <w:rPr>
                <w:rFonts w:ascii="Century Gothic" w:hAnsi="Century Gothic"/>
                <w:b/>
                <w:color w:val="000000"/>
                <w:sz w:val="14"/>
                <w:szCs w:val="14"/>
              </w:rPr>
              <w:t>Nr wskaźnika</w:t>
            </w:r>
          </w:p>
        </w:tc>
        <w:tc>
          <w:tcPr>
            <w:tcW w:w="0" w:type="auto"/>
            <w:shd w:val="clear" w:color="auto" w:fill="D9D9D9"/>
            <w:vAlign w:val="center"/>
          </w:tcPr>
          <w:p w:rsidR="00AF1499" w:rsidRPr="00AE35C1" w:rsidRDefault="00AF1499" w:rsidP="00F67CF0">
            <w:pPr>
              <w:spacing w:after="0" w:line="288" w:lineRule="auto"/>
              <w:jc w:val="center"/>
              <w:rPr>
                <w:rFonts w:ascii="Century Gothic" w:hAnsi="Century Gothic"/>
                <w:b/>
                <w:color w:val="000000"/>
                <w:sz w:val="14"/>
                <w:szCs w:val="14"/>
              </w:rPr>
            </w:pPr>
            <w:r w:rsidRPr="00AE35C1">
              <w:rPr>
                <w:rFonts w:ascii="Century Gothic" w:hAnsi="Century Gothic"/>
                <w:b/>
                <w:color w:val="000000"/>
                <w:sz w:val="14"/>
                <w:szCs w:val="14"/>
              </w:rPr>
              <w:t>Nazwa wskaźnika</w:t>
            </w:r>
          </w:p>
          <w:p w:rsidR="00AF1499" w:rsidRPr="00AE35C1" w:rsidRDefault="00AF1499" w:rsidP="00F67CF0">
            <w:pPr>
              <w:spacing w:after="0" w:line="288" w:lineRule="auto"/>
              <w:jc w:val="center"/>
              <w:rPr>
                <w:rFonts w:ascii="Century Gothic" w:hAnsi="Century Gothic"/>
                <w:color w:val="000000"/>
                <w:sz w:val="12"/>
                <w:szCs w:val="12"/>
              </w:rPr>
            </w:pPr>
            <w:r w:rsidRPr="00AE35C1">
              <w:rPr>
                <w:rFonts w:ascii="Century Gothic" w:hAnsi="Century Gothic"/>
                <w:color w:val="000000"/>
                <w:sz w:val="12"/>
                <w:szCs w:val="12"/>
              </w:rPr>
              <w:t>[jednostka]</w:t>
            </w:r>
          </w:p>
        </w:tc>
        <w:tc>
          <w:tcPr>
            <w:tcW w:w="0" w:type="auto"/>
            <w:shd w:val="clear" w:color="auto" w:fill="D9D9D9"/>
            <w:textDirection w:val="btLr"/>
            <w:vAlign w:val="center"/>
          </w:tcPr>
          <w:p w:rsidR="00AF1499" w:rsidRPr="00AE35C1" w:rsidRDefault="00AF1499" w:rsidP="00FD0968">
            <w:pPr>
              <w:spacing w:after="0" w:line="288" w:lineRule="auto"/>
              <w:ind w:left="113" w:right="113"/>
              <w:jc w:val="center"/>
              <w:rPr>
                <w:rFonts w:ascii="Century Gothic" w:hAnsi="Century Gothic"/>
                <w:b/>
                <w:color w:val="000000"/>
                <w:sz w:val="14"/>
                <w:szCs w:val="14"/>
              </w:rPr>
            </w:pPr>
            <w:r w:rsidRPr="00AE35C1">
              <w:rPr>
                <w:rFonts w:ascii="Century Gothic" w:hAnsi="Century Gothic"/>
                <w:b/>
                <w:color w:val="000000"/>
                <w:sz w:val="14"/>
                <w:szCs w:val="14"/>
              </w:rPr>
              <w:t>Źródło</w:t>
            </w:r>
          </w:p>
        </w:tc>
        <w:tc>
          <w:tcPr>
            <w:tcW w:w="0" w:type="auto"/>
            <w:shd w:val="clear" w:color="auto" w:fill="D9D9D9"/>
            <w:textDirection w:val="btLr"/>
            <w:vAlign w:val="center"/>
          </w:tcPr>
          <w:p w:rsidR="00AF1499" w:rsidRPr="00AE35C1" w:rsidRDefault="00AF1499" w:rsidP="00FD0968">
            <w:pPr>
              <w:spacing w:after="0" w:line="288" w:lineRule="auto"/>
              <w:ind w:left="113" w:right="113"/>
              <w:jc w:val="center"/>
              <w:rPr>
                <w:rFonts w:ascii="Century Gothic" w:hAnsi="Century Gothic"/>
                <w:b/>
                <w:color w:val="000000"/>
                <w:sz w:val="14"/>
                <w:szCs w:val="14"/>
              </w:rPr>
            </w:pPr>
            <w:r w:rsidRPr="00AE35C1">
              <w:rPr>
                <w:rFonts w:ascii="Century Gothic" w:hAnsi="Century Gothic"/>
                <w:b/>
                <w:color w:val="000000"/>
                <w:sz w:val="14"/>
                <w:szCs w:val="14"/>
              </w:rPr>
              <w:t>Tendencja 2010-2016</w:t>
            </w:r>
          </w:p>
        </w:tc>
        <w:tc>
          <w:tcPr>
            <w:tcW w:w="0" w:type="auto"/>
            <w:shd w:val="clear" w:color="auto" w:fill="D9D9D9"/>
            <w:textDirection w:val="btLr"/>
            <w:vAlign w:val="center"/>
          </w:tcPr>
          <w:p w:rsidR="00AF1499" w:rsidRPr="00AE35C1" w:rsidRDefault="00AF1499" w:rsidP="00FD0968">
            <w:pPr>
              <w:spacing w:after="0" w:line="288" w:lineRule="auto"/>
              <w:ind w:left="113" w:right="113"/>
              <w:jc w:val="center"/>
              <w:rPr>
                <w:rFonts w:ascii="Century Gothic" w:hAnsi="Century Gothic"/>
                <w:b/>
                <w:color w:val="000000"/>
                <w:sz w:val="14"/>
                <w:szCs w:val="14"/>
              </w:rPr>
            </w:pPr>
            <w:r w:rsidRPr="00AE35C1">
              <w:rPr>
                <w:rFonts w:ascii="Century Gothic" w:hAnsi="Century Gothic"/>
                <w:b/>
                <w:color w:val="000000"/>
                <w:sz w:val="14"/>
                <w:szCs w:val="14"/>
              </w:rPr>
              <w:t>Wartość 2016</w:t>
            </w:r>
          </w:p>
        </w:tc>
        <w:tc>
          <w:tcPr>
            <w:tcW w:w="963" w:type="dxa"/>
            <w:shd w:val="clear" w:color="auto" w:fill="D9D9D9"/>
            <w:textDirection w:val="btLr"/>
          </w:tcPr>
          <w:p w:rsidR="00AF1499" w:rsidRPr="00AE35C1" w:rsidRDefault="00AF1499" w:rsidP="00FD0968">
            <w:pPr>
              <w:spacing w:after="0" w:line="288" w:lineRule="auto"/>
              <w:ind w:left="113" w:right="113"/>
              <w:jc w:val="center"/>
              <w:rPr>
                <w:rFonts w:ascii="Century Gothic" w:hAnsi="Century Gothic"/>
                <w:b/>
                <w:color w:val="000000"/>
                <w:sz w:val="14"/>
                <w:szCs w:val="14"/>
              </w:rPr>
            </w:pPr>
            <w:r>
              <w:rPr>
                <w:rFonts w:ascii="Century Gothic" w:hAnsi="Century Gothic"/>
                <w:b/>
                <w:color w:val="000000"/>
                <w:sz w:val="14"/>
                <w:szCs w:val="14"/>
              </w:rPr>
              <w:t>Oczekiwana wartość</w:t>
            </w:r>
            <w:r w:rsidR="000E4ED3">
              <w:rPr>
                <w:rFonts w:ascii="Century Gothic" w:hAnsi="Century Gothic"/>
                <w:b/>
                <w:color w:val="000000"/>
                <w:sz w:val="14"/>
                <w:szCs w:val="14"/>
              </w:rPr>
              <w:t xml:space="preserve"> wskaźnika</w:t>
            </w:r>
          </w:p>
        </w:tc>
      </w:tr>
      <w:tr w:rsidR="00D113CA" w:rsidRPr="00AE35C1" w:rsidTr="00D113CA">
        <w:tc>
          <w:tcPr>
            <w:tcW w:w="0" w:type="auto"/>
            <w:vMerge w:val="restart"/>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r w:rsidRPr="00AE35C1">
              <w:rPr>
                <w:rFonts w:cs="Calibri"/>
                <w:b/>
                <w:color w:val="000000"/>
                <w:sz w:val="18"/>
                <w:szCs w:val="18"/>
              </w:rPr>
              <w:t>1.</w:t>
            </w:r>
          </w:p>
        </w:tc>
        <w:tc>
          <w:tcPr>
            <w:tcW w:w="0" w:type="auto"/>
            <w:vMerge w:val="restart"/>
            <w:shd w:val="clear" w:color="auto" w:fill="D9D9D9"/>
            <w:textDirection w:val="btLr"/>
            <w:vAlign w:val="center"/>
          </w:tcPr>
          <w:p w:rsidR="00AF1499" w:rsidRPr="00AE35C1" w:rsidRDefault="00AF1499" w:rsidP="00FD0968">
            <w:pPr>
              <w:spacing w:before="20" w:after="0" w:line="288" w:lineRule="auto"/>
              <w:ind w:left="113" w:right="113"/>
              <w:jc w:val="center"/>
              <w:rPr>
                <w:rFonts w:ascii="Century Gothic" w:hAnsi="Century Gothic"/>
                <w:b/>
                <w:color w:val="000000"/>
                <w:sz w:val="12"/>
                <w:szCs w:val="12"/>
              </w:rPr>
            </w:pPr>
            <w:r w:rsidRPr="00AE35C1">
              <w:rPr>
                <w:rFonts w:ascii="Century Gothic" w:hAnsi="Century Gothic"/>
                <w:b/>
                <w:color w:val="000000"/>
                <w:sz w:val="12"/>
                <w:szCs w:val="12"/>
              </w:rPr>
              <w:t xml:space="preserve">EFEKTYWNE WYKORZYSTANIE </w:t>
            </w:r>
          </w:p>
          <w:p w:rsidR="00AF1499" w:rsidRPr="00AE35C1" w:rsidRDefault="00AF1499" w:rsidP="00FD0968">
            <w:pPr>
              <w:spacing w:after="20" w:line="288" w:lineRule="auto"/>
              <w:ind w:left="113" w:right="113"/>
              <w:jc w:val="center"/>
              <w:rPr>
                <w:rFonts w:ascii="Century Gothic" w:hAnsi="Century Gothic"/>
                <w:b/>
                <w:color w:val="000000"/>
                <w:sz w:val="12"/>
                <w:szCs w:val="12"/>
              </w:rPr>
            </w:pPr>
            <w:r w:rsidRPr="00AE35C1">
              <w:rPr>
                <w:rFonts w:ascii="Century Gothic" w:hAnsi="Century Gothic"/>
                <w:b/>
                <w:color w:val="000000"/>
                <w:sz w:val="12"/>
                <w:szCs w:val="12"/>
              </w:rPr>
              <w:t>GOSPODARCZEGO POTENCJAŁU REGIONU</w:t>
            </w:r>
          </w:p>
        </w:tc>
        <w:tc>
          <w:tcPr>
            <w:tcW w:w="0" w:type="auto"/>
            <w:shd w:val="clear" w:color="auto" w:fill="D9D9D9"/>
          </w:tcPr>
          <w:p w:rsidR="00AF1499" w:rsidRPr="00AE35C1" w:rsidRDefault="00AF1499" w:rsidP="00FD0968">
            <w:pPr>
              <w:pStyle w:val="Akapitzlist"/>
              <w:spacing w:before="20" w:after="20" w:line="240" w:lineRule="auto"/>
              <w:ind w:left="33" w:firstLine="1"/>
              <w:rPr>
                <w:color w:val="000000"/>
                <w:sz w:val="15"/>
                <w:szCs w:val="15"/>
              </w:rPr>
            </w:pPr>
            <w:r>
              <w:rPr>
                <w:color w:val="000000"/>
                <w:sz w:val="15"/>
                <w:szCs w:val="15"/>
              </w:rPr>
              <w:t>1</w:t>
            </w:r>
          </w:p>
        </w:tc>
        <w:tc>
          <w:tcPr>
            <w:tcW w:w="0" w:type="auto"/>
            <w:shd w:val="clear" w:color="auto" w:fill="D9D9D9"/>
            <w:vAlign w:val="center"/>
          </w:tcPr>
          <w:p w:rsidR="00AF1499" w:rsidRPr="00AE35C1" w:rsidRDefault="00AF1499" w:rsidP="00FD0968">
            <w:pPr>
              <w:pStyle w:val="Akapitzlist"/>
              <w:spacing w:before="20" w:after="20" w:line="240" w:lineRule="auto"/>
              <w:ind w:left="33" w:firstLine="1"/>
              <w:rPr>
                <w:color w:val="000000"/>
                <w:sz w:val="15"/>
                <w:szCs w:val="15"/>
              </w:rPr>
            </w:pPr>
            <w:r w:rsidRPr="00AE35C1">
              <w:rPr>
                <w:color w:val="000000"/>
                <w:sz w:val="15"/>
                <w:szCs w:val="15"/>
              </w:rPr>
              <w:t>Produkt krajowy brutto na 1 mieszkańca [zł]</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color w:val="000000"/>
                <w:sz w:val="15"/>
                <w:szCs w:val="15"/>
              </w:rPr>
              <w:t>52 203 zł</w:t>
            </w:r>
            <w:r w:rsidRPr="00AE35C1">
              <w:rPr>
                <w:color w:val="000000"/>
                <w:sz w:val="15"/>
                <w:szCs w:val="15"/>
                <w:vertAlign w:val="superscript"/>
              </w:rPr>
              <w:t>2015</w:t>
            </w:r>
          </w:p>
        </w:tc>
        <w:tc>
          <w:tcPr>
            <w:tcW w:w="963" w:type="dxa"/>
            <w:shd w:val="clear" w:color="auto" w:fill="D9D9D9"/>
            <w:vAlign w:val="center"/>
          </w:tcPr>
          <w:p w:rsidR="00AF1499" w:rsidRPr="00AE35C1" w:rsidRDefault="00AF1499" w:rsidP="007E3EA9">
            <w:pPr>
              <w:spacing w:before="20" w:after="20" w:line="288" w:lineRule="auto"/>
              <w:jc w:val="center"/>
              <w:rPr>
                <w:rFonts w:ascii="Arial" w:hAnsi="Arial" w:cs="Arial"/>
                <w:color w:val="000000"/>
                <w:sz w:val="15"/>
                <w:szCs w:val="15"/>
              </w:rPr>
            </w:pPr>
            <w:r>
              <w:rPr>
                <w:rFonts w:ascii="Arial" w:hAnsi="Arial" w:cs="Arial"/>
                <w:color w:val="000000"/>
                <w:sz w:val="15"/>
                <w:szCs w:val="15"/>
              </w:rPr>
              <w:t>75 000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5F2FC7">
            <w:pPr>
              <w:pStyle w:val="Akapitzlist"/>
              <w:spacing w:before="20" w:after="20" w:line="240" w:lineRule="auto"/>
              <w:ind w:left="33" w:firstLine="1"/>
              <w:rPr>
                <w:color w:val="000000"/>
                <w:sz w:val="15"/>
                <w:szCs w:val="15"/>
              </w:rPr>
            </w:pPr>
            <w:r>
              <w:rPr>
                <w:color w:val="000000"/>
                <w:sz w:val="15"/>
                <w:szCs w:val="15"/>
              </w:rPr>
              <w:t>2</w:t>
            </w:r>
          </w:p>
        </w:tc>
        <w:tc>
          <w:tcPr>
            <w:tcW w:w="0" w:type="auto"/>
            <w:shd w:val="clear" w:color="auto" w:fill="D9D9D9"/>
            <w:vAlign w:val="center"/>
          </w:tcPr>
          <w:p w:rsidR="00AF1499" w:rsidRPr="00AE35C1" w:rsidRDefault="00AF1499" w:rsidP="005F2FC7">
            <w:pPr>
              <w:pStyle w:val="Akapitzlist"/>
              <w:spacing w:before="20" w:after="20" w:line="240" w:lineRule="auto"/>
              <w:ind w:left="33" w:firstLine="1"/>
              <w:rPr>
                <w:color w:val="000000"/>
                <w:sz w:val="15"/>
                <w:szCs w:val="15"/>
              </w:rPr>
            </w:pPr>
            <w:r w:rsidRPr="00AE35C1">
              <w:rPr>
                <w:color w:val="000000"/>
                <w:sz w:val="15"/>
                <w:szCs w:val="15"/>
              </w:rPr>
              <w:t>Relacja skrajnych wartości (liczona jako iloraz maksymalnej i minimalnej wartości) PKB brutto na 1 mieszkańca [zł] w podregionach</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color w:val="000000"/>
                <w:sz w:val="15"/>
                <w:szCs w:val="15"/>
              </w:rPr>
              <w:t xml:space="preserve">GUS </w:t>
            </w:r>
          </w:p>
        </w:tc>
        <w:tc>
          <w:tcPr>
            <w:tcW w:w="0" w:type="auto"/>
            <w:shd w:val="clear" w:color="auto" w:fill="D9D9D9"/>
            <w:vAlign w:val="center"/>
          </w:tcPr>
          <w:p w:rsidR="00AF1499" w:rsidRPr="00AE35C1" w:rsidRDefault="00AF1499" w:rsidP="00FD0968">
            <w:pPr>
              <w:spacing w:before="20" w:after="20" w:line="288"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color w:val="000000"/>
                <w:sz w:val="15"/>
                <w:szCs w:val="15"/>
              </w:rPr>
              <w:t>2,23</w:t>
            </w:r>
          </w:p>
        </w:tc>
        <w:tc>
          <w:tcPr>
            <w:tcW w:w="963" w:type="dxa"/>
            <w:shd w:val="clear" w:color="auto" w:fill="D9D9D9"/>
            <w:vAlign w:val="center"/>
          </w:tcPr>
          <w:p w:rsidR="00AF1499" w:rsidRPr="00AE35C1" w:rsidRDefault="00AF1499" w:rsidP="007E3EA9">
            <w:pPr>
              <w:spacing w:before="20" w:after="20" w:line="288" w:lineRule="auto"/>
              <w:jc w:val="center"/>
              <w:rPr>
                <w:rFonts w:ascii="Arial" w:hAnsi="Arial" w:cs="Arial"/>
                <w:color w:val="000000"/>
                <w:sz w:val="15"/>
                <w:szCs w:val="15"/>
              </w:rPr>
            </w:pPr>
            <w:r>
              <w:rPr>
                <w:rFonts w:ascii="Arial" w:hAnsi="Arial" w:cs="Arial"/>
                <w:color w:val="000000"/>
                <w:sz w:val="15"/>
                <w:szCs w:val="15"/>
              </w:rPr>
              <w:t>2,0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pStyle w:val="Akapitzlist"/>
              <w:spacing w:before="20" w:after="20" w:line="240" w:lineRule="auto"/>
              <w:ind w:left="33" w:firstLine="1"/>
              <w:rPr>
                <w:color w:val="000000"/>
                <w:sz w:val="15"/>
                <w:szCs w:val="15"/>
              </w:rPr>
            </w:pPr>
            <w:r>
              <w:rPr>
                <w:color w:val="000000"/>
                <w:sz w:val="15"/>
                <w:szCs w:val="15"/>
              </w:rPr>
              <w:t>3</w:t>
            </w:r>
          </w:p>
        </w:tc>
        <w:tc>
          <w:tcPr>
            <w:tcW w:w="0" w:type="auto"/>
            <w:shd w:val="clear" w:color="auto" w:fill="D9D9D9"/>
            <w:vAlign w:val="center"/>
          </w:tcPr>
          <w:p w:rsidR="00AF1499" w:rsidRPr="00AE35C1" w:rsidRDefault="00AF1499" w:rsidP="00FD0968">
            <w:pPr>
              <w:pStyle w:val="Akapitzlist"/>
              <w:spacing w:before="20" w:after="20" w:line="240" w:lineRule="auto"/>
              <w:ind w:left="33" w:firstLine="1"/>
              <w:rPr>
                <w:color w:val="000000"/>
                <w:sz w:val="15"/>
                <w:szCs w:val="15"/>
              </w:rPr>
            </w:pPr>
            <w:r w:rsidRPr="00AE35C1">
              <w:rPr>
                <w:color w:val="000000"/>
                <w:sz w:val="15"/>
                <w:szCs w:val="15"/>
              </w:rPr>
              <w:t xml:space="preserve">Liczba podmiotów wpisanych do rejestru REGON na 10 tys. ludności </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88"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color w:val="000000"/>
                <w:sz w:val="15"/>
                <w:szCs w:val="15"/>
              </w:rPr>
              <w:t>1 244</w:t>
            </w:r>
          </w:p>
        </w:tc>
        <w:tc>
          <w:tcPr>
            <w:tcW w:w="963" w:type="dxa"/>
            <w:shd w:val="clear" w:color="auto" w:fill="D9D9D9"/>
            <w:vAlign w:val="center"/>
          </w:tcPr>
          <w:p w:rsidR="00AF1499" w:rsidRPr="00AE35C1" w:rsidRDefault="00AF1499" w:rsidP="007E3EA9">
            <w:pPr>
              <w:spacing w:before="20" w:after="20" w:line="288" w:lineRule="auto"/>
              <w:jc w:val="center"/>
              <w:rPr>
                <w:rFonts w:ascii="Arial" w:hAnsi="Arial" w:cs="Arial"/>
                <w:color w:val="000000"/>
                <w:sz w:val="15"/>
                <w:szCs w:val="15"/>
              </w:rPr>
            </w:pPr>
            <w:r>
              <w:rPr>
                <w:rFonts w:ascii="Arial" w:hAnsi="Arial" w:cs="Arial"/>
                <w:color w:val="000000"/>
                <w:sz w:val="15"/>
                <w:szCs w:val="15"/>
              </w:rPr>
              <w:t>1 500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pStyle w:val="Akapitzlist"/>
              <w:spacing w:before="20" w:after="20" w:line="240" w:lineRule="auto"/>
              <w:ind w:left="34"/>
              <w:rPr>
                <w:sz w:val="15"/>
                <w:szCs w:val="15"/>
              </w:rPr>
            </w:pPr>
            <w:r>
              <w:rPr>
                <w:sz w:val="15"/>
                <w:szCs w:val="15"/>
              </w:rPr>
              <w:t>4</w:t>
            </w:r>
          </w:p>
        </w:tc>
        <w:tc>
          <w:tcPr>
            <w:tcW w:w="0" w:type="auto"/>
            <w:shd w:val="clear" w:color="auto" w:fill="D9D9D9"/>
            <w:vAlign w:val="center"/>
          </w:tcPr>
          <w:p w:rsidR="00AF1499" w:rsidRPr="00AE35C1" w:rsidRDefault="00AF1499" w:rsidP="00FD0968">
            <w:pPr>
              <w:pStyle w:val="Akapitzlist"/>
              <w:spacing w:before="20" w:after="20" w:line="240" w:lineRule="auto"/>
              <w:ind w:left="34"/>
              <w:rPr>
                <w:color w:val="000000"/>
                <w:sz w:val="15"/>
                <w:szCs w:val="15"/>
              </w:rPr>
            </w:pPr>
            <w:r w:rsidRPr="00AE35C1">
              <w:rPr>
                <w:sz w:val="15"/>
                <w:szCs w:val="15"/>
              </w:rPr>
              <w:t xml:space="preserve">Jednostki nowo zarejestrowane w rejestrze REGON na 10 tys. ludności </w:t>
            </w:r>
            <w:r w:rsidRPr="00AE35C1">
              <w:rPr>
                <w:color w:val="000000"/>
                <w:sz w:val="15"/>
                <w:szCs w:val="15"/>
              </w:rPr>
              <w:t>[szt.]</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after="0" w:line="240" w:lineRule="auto"/>
              <w:jc w:val="center"/>
              <w:rPr>
                <w:rFonts w:ascii="Arial" w:hAnsi="Arial" w:cs="Arial"/>
                <w:color w:val="000000"/>
                <w:sz w:val="15"/>
                <w:szCs w:val="15"/>
              </w:rPr>
            </w:pPr>
            <w:r w:rsidRPr="00AE35C1">
              <w:rPr>
                <w:rFonts w:ascii="Arial" w:hAnsi="Arial" w:cs="Arial"/>
                <w:color w:val="000000"/>
                <w:sz w:val="15"/>
                <w:szCs w:val="15"/>
              </w:rPr>
              <w:t>▼</w:t>
            </w:r>
          </w:p>
          <w:p w:rsidR="00AF1499" w:rsidRPr="00AE35C1" w:rsidRDefault="00AF1499" w:rsidP="00FD0968">
            <w:pPr>
              <w:spacing w:after="0" w:line="288" w:lineRule="auto"/>
              <w:jc w:val="center"/>
              <w:rPr>
                <w:color w:val="000000"/>
                <w:sz w:val="15"/>
                <w:szCs w:val="15"/>
              </w:rPr>
            </w:pPr>
            <w:r w:rsidRPr="00AE35C1">
              <w:rPr>
                <w:color w:val="000000"/>
                <w:sz w:val="15"/>
                <w:szCs w:val="15"/>
                <w:vertAlign w:val="superscript"/>
              </w:rPr>
              <w:t>2015-2016</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color w:val="000000"/>
                <w:sz w:val="15"/>
                <w:szCs w:val="15"/>
              </w:rPr>
              <w:t>99</w:t>
            </w:r>
          </w:p>
        </w:tc>
        <w:tc>
          <w:tcPr>
            <w:tcW w:w="963" w:type="dxa"/>
            <w:shd w:val="clear" w:color="auto" w:fill="D9D9D9"/>
            <w:vAlign w:val="center"/>
          </w:tcPr>
          <w:p w:rsidR="00AF1499" w:rsidRPr="00AE35C1" w:rsidRDefault="00AF1499" w:rsidP="007E3EA9">
            <w:pPr>
              <w:spacing w:before="20" w:after="20" w:line="288" w:lineRule="auto"/>
              <w:jc w:val="center"/>
              <w:rPr>
                <w:rFonts w:ascii="Arial" w:hAnsi="Arial" w:cs="Arial"/>
                <w:color w:val="000000"/>
                <w:sz w:val="15"/>
                <w:szCs w:val="15"/>
              </w:rPr>
            </w:pPr>
            <w:r>
              <w:rPr>
                <w:rFonts w:ascii="Arial" w:hAnsi="Arial" w:cs="Arial"/>
                <w:color w:val="000000"/>
                <w:sz w:val="15"/>
                <w:szCs w:val="15"/>
              </w:rPr>
              <w:t>123</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ind w:left="33" w:firstLine="1"/>
              <w:rPr>
                <w:color w:val="000000"/>
                <w:sz w:val="15"/>
                <w:szCs w:val="15"/>
              </w:rPr>
            </w:pPr>
            <w:r>
              <w:rPr>
                <w:color w:val="000000"/>
                <w:sz w:val="15"/>
                <w:szCs w:val="15"/>
              </w:rPr>
              <w:t>5</w:t>
            </w:r>
          </w:p>
        </w:tc>
        <w:tc>
          <w:tcPr>
            <w:tcW w:w="0" w:type="auto"/>
            <w:shd w:val="clear" w:color="auto" w:fill="D9D9D9"/>
          </w:tcPr>
          <w:p w:rsidR="00AF1499" w:rsidRPr="00AE35C1" w:rsidRDefault="00AF1499" w:rsidP="00FD0968">
            <w:pPr>
              <w:spacing w:before="20" w:after="20" w:line="240" w:lineRule="auto"/>
              <w:ind w:left="33" w:firstLine="1"/>
              <w:rPr>
                <w:color w:val="000000"/>
                <w:sz w:val="15"/>
                <w:szCs w:val="15"/>
              </w:rPr>
            </w:pPr>
            <w:r w:rsidRPr="00AE35C1">
              <w:rPr>
                <w:color w:val="000000"/>
                <w:sz w:val="15"/>
                <w:szCs w:val="15"/>
              </w:rPr>
              <w:t xml:space="preserve">Nakłady na </w:t>
            </w:r>
            <w:proofErr w:type="spellStart"/>
            <w:r w:rsidRPr="00AE35C1">
              <w:rPr>
                <w:color w:val="000000"/>
                <w:sz w:val="15"/>
                <w:szCs w:val="15"/>
              </w:rPr>
              <w:t>B+R</w:t>
            </w:r>
            <w:proofErr w:type="spellEnd"/>
            <w:r w:rsidRPr="00AE35C1">
              <w:rPr>
                <w:color w:val="000000"/>
                <w:sz w:val="15"/>
                <w:szCs w:val="15"/>
              </w:rPr>
              <w:t xml:space="preserve"> w relacji do PKB oraz nakłady przedsiębiorstw na </w:t>
            </w:r>
            <w:proofErr w:type="spellStart"/>
            <w:r w:rsidRPr="00AE35C1">
              <w:rPr>
                <w:color w:val="000000"/>
                <w:sz w:val="15"/>
                <w:szCs w:val="15"/>
              </w:rPr>
              <w:t>B+R</w:t>
            </w:r>
            <w:proofErr w:type="spellEnd"/>
            <w:r w:rsidRPr="00AE35C1">
              <w:rPr>
                <w:color w:val="000000"/>
                <w:sz w:val="15"/>
                <w:szCs w:val="15"/>
              </w:rPr>
              <w:t xml:space="preserve"> w relacji do PKB</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vertAlign w:val="superscript"/>
              </w:rPr>
            </w:pPr>
            <w:r w:rsidRPr="00AE35C1">
              <w:rPr>
                <w:color w:val="000000"/>
                <w:sz w:val="15"/>
                <w:szCs w:val="15"/>
              </w:rPr>
              <w:t>0,</w:t>
            </w:r>
            <w:r w:rsidR="007E3EA9">
              <w:rPr>
                <w:color w:val="000000"/>
                <w:sz w:val="15"/>
                <w:szCs w:val="15"/>
              </w:rPr>
              <w:t>85</w:t>
            </w:r>
            <w:r w:rsidRPr="00AE35C1">
              <w:rPr>
                <w:color w:val="000000"/>
                <w:sz w:val="15"/>
                <w:szCs w:val="15"/>
                <w:vertAlign w:val="superscript"/>
              </w:rPr>
              <w:t>201</w:t>
            </w:r>
            <w:r w:rsidR="007E3EA9">
              <w:rPr>
                <w:color w:val="000000"/>
                <w:sz w:val="15"/>
                <w:szCs w:val="15"/>
                <w:vertAlign w:val="superscript"/>
              </w:rPr>
              <w:t>5</w:t>
            </w:r>
          </w:p>
          <w:p w:rsidR="00AF1499" w:rsidRPr="00AE35C1" w:rsidRDefault="00AF1499" w:rsidP="007E3EA9">
            <w:pPr>
              <w:spacing w:before="20" w:after="20" w:line="240" w:lineRule="auto"/>
              <w:jc w:val="center"/>
              <w:rPr>
                <w:color w:val="000000"/>
                <w:sz w:val="15"/>
                <w:szCs w:val="15"/>
              </w:rPr>
            </w:pPr>
            <w:r w:rsidRPr="00AE35C1">
              <w:rPr>
                <w:color w:val="000000"/>
                <w:sz w:val="15"/>
                <w:szCs w:val="15"/>
              </w:rPr>
              <w:t>0,4</w:t>
            </w:r>
            <w:r w:rsidR="007E3EA9">
              <w:rPr>
                <w:color w:val="000000"/>
                <w:sz w:val="15"/>
                <w:szCs w:val="15"/>
              </w:rPr>
              <w:t>9</w:t>
            </w:r>
            <w:r w:rsidRPr="00AE35C1">
              <w:rPr>
                <w:color w:val="000000"/>
                <w:sz w:val="15"/>
                <w:szCs w:val="15"/>
                <w:vertAlign w:val="superscript"/>
              </w:rPr>
              <w:t>201</w:t>
            </w:r>
            <w:r w:rsidR="007E3EA9">
              <w:rPr>
                <w:color w:val="000000"/>
                <w:sz w:val="15"/>
                <w:szCs w:val="15"/>
                <w:vertAlign w:val="superscript"/>
              </w:rPr>
              <w:t>5</w:t>
            </w:r>
          </w:p>
        </w:tc>
        <w:tc>
          <w:tcPr>
            <w:tcW w:w="963" w:type="dxa"/>
            <w:shd w:val="clear" w:color="auto" w:fill="D9D9D9"/>
            <w:vAlign w:val="center"/>
          </w:tcPr>
          <w:p w:rsidR="00AF1499"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2,0</w:t>
            </w:r>
          </w:p>
          <w:p w:rsidR="00AF1499" w:rsidRPr="00AE35C1" w:rsidRDefault="00AF1499" w:rsidP="00E73C96">
            <w:pPr>
              <w:spacing w:before="20" w:after="20" w:line="240" w:lineRule="auto"/>
              <w:jc w:val="center"/>
              <w:rPr>
                <w:rFonts w:ascii="Arial" w:hAnsi="Arial" w:cs="Arial"/>
                <w:color w:val="000000"/>
                <w:sz w:val="15"/>
                <w:szCs w:val="15"/>
              </w:rPr>
            </w:pPr>
            <w:r>
              <w:rPr>
                <w:rFonts w:ascii="Arial" w:hAnsi="Arial" w:cs="Arial"/>
                <w:color w:val="000000"/>
                <w:sz w:val="15"/>
                <w:szCs w:val="15"/>
              </w:rPr>
              <w:t>1,8</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ind w:left="33" w:firstLine="1"/>
              <w:rPr>
                <w:color w:val="000000"/>
                <w:sz w:val="15"/>
                <w:szCs w:val="15"/>
              </w:rPr>
            </w:pPr>
            <w:r>
              <w:rPr>
                <w:color w:val="000000"/>
                <w:sz w:val="15"/>
                <w:szCs w:val="15"/>
              </w:rPr>
              <w:t>6</w:t>
            </w:r>
          </w:p>
        </w:tc>
        <w:tc>
          <w:tcPr>
            <w:tcW w:w="0" w:type="auto"/>
            <w:shd w:val="clear" w:color="auto" w:fill="D9D9D9"/>
            <w:vAlign w:val="center"/>
          </w:tcPr>
          <w:p w:rsidR="00AF1499" w:rsidRPr="00AE35C1" w:rsidRDefault="00AF1499" w:rsidP="00FD0968">
            <w:pPr>
              <w:spacing w:before="20" w:after="20" w:line="240" w:lineRule="auto"/>
              <w:ind w:left="33" w:firstLine="1"/>
              <w:rPr>
                <w:color w:val="000000"/>
                <w:sz w:val="15"/>
                <w:szCs w:val="15"/>
              </w:rPr>
            </w:pPr>
            <w:r w:rsidRPr="00AE35C1">
              <w:rPr>
                <w:color w:val="000000"/>
                <w:sz w:val="15"/>
                <w:szCs w:val="15"/>
              </w:rPr>
              <w:t xml:space="preserve">Udział przychodów netto ze sprzedaży produktów innowacyjnych </w:t>
            </w:r>
            <w:r>
              <w:rPr>
                <w:color w:val="000000"/>
                <w:sz w:val="15"/>
                <w:szCs w:val="15"/>
              </w:rPr>
              <w:t xml:space="preserve">w przedsiębiorstwach przemysłowych </w:t>
            </w:r>
            <w:r w:rsidRPr="00AE35C1">
              <w:rPr>
                <w:color w:val="000000"/>
                <w:sz w:val="15"/>
                <w:szCs w:val="15"/>
              </w:rPr>
              <w:t>na eksport w przychodach netto ze sprzedaży ogółem [%]</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7E3EA9" w:rsidP="007E3EA9">
            <w:pPr>
              <w:spacing w:before="20" w:after="20" w:line="240" w:lineRule="auto"/>
              <w:jc w:val="center"/>
              <w:rPr>
                <w:color w:val="000000"/>
                <w:sz w:val="15"/>
                <w:szCs w:val="15"/>
              </w:rPr>
            </w:pPr>
            <w:r>
              <w:rPr>
                <w:color w:val="000000"/>
                <w:sz w:val="15"/>
                <w:szCs w:val="15"/>
              </w:rPr>
              <w:t>11,05</w:t>
            </w:r>
            <w:r w:rsidR="00AF1499" w:rsidRPr="00AE35C1">
              <w:rPr>
                <w:color w:val="000000"/>
                <w:sz w:val="15"/>
                <w:szCs w:val="15"/>
              </w:rPr>
              <w:t>%</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16,0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ind w:left="33" w:firstLine="1"/>
              <w:rPr>
                <w:color w:val="000000"/>
                <w:sz w:val="15"/>
                <w:szCs w:val="15"/>
              </w:rPr>
            </w:pPr>
            <w:r>
              <w:rPr>
                <w:color w:val="000000"/>
                <w:sz w:val="15"/>
                <w:szCs w:val="15"/>
              </w:rPr>
              <w:t>7</w:t>
            </w:r>
          </w:p>
        </w:tc>
        <w:tc>
          <w:tcPr>
            <w:tcW w:w="0" w:type="auto"/>
            <w:shd w:val="clear" w:color="auto" w:fill="D9D9D9"/>
          </w:tcPr>
          <w:p w:rsidR="00AF1499" w:rsidRPr="00AE35C1" w:rsidRDefault="00AF1499" w:rsidP="00FD0968">
            <w:pPr>
              <w:spacing w:before="20" w:after="20" w:line="240" w:lineRule="auto"/>
              <w:ind w:left="33" w:firstLine="1"/>
              <w:rPr>
                <w:color w:val="000000"/>
                <w:sz w:val="15"/>
                <w:szCs w:val="15"/>
              </w:rPr>
            </w:pPr>
            <w:r w:rsidRPr="00AE35C1">
              <w:rPr>
                <w:color w:val="000000"/>
                <w:sz w:val="15"/>
                <w:szCs w:val="15"/>
              </w:rPr>
              <w:t xml:space="preserve">Udział przedsiębiorstw przemysłowych/usługowych </w:t>
            </w:r>
            <w:r w:rsidRPr="00AE35C1">
              <w:rPr>
                <w:color w:val="000000"/>
                <w:sz w:val="15"/>
                <w:szCs w:val="15"/>
              </w:rPr>
              <w:lastRenderedPageBreak/>
              <w:t>współpracujących w zakresie działalności innowacyjnej w % ogółu przedsiębiorstw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lastRenderedPageBreak/>
              <w:t>GUS</w:t>
            </w:r>
          </w:p>
        </w:tc>
        <w:tc>
          <w:tcPr>
            <w:tcW w:w="0" w:type="auto"/>
            <w:shd w:val="clear" w:color="auto" w:fill="D9D9D9"/>
            <w:vAlign w:val="center"/>
          </w:tcPr>
          <w:p w:rsidR="00AF1499" w:rsidRPr="00AE35C1" w:rsidRDefault="00AF1499" w:rsidP="00FD0968">
            <w:pPr>
              <w:spacing w:before="20" w:after="20" w:line="288" w:lineRule="auto"/>
              <w:jc w:val="center"/>
              <w:rPr>
                <w:color w:val="000000"/>
                <w:sz w:val="15"/>
                <w:szCs w:val="15"/>
              </w:rPr>
            </w:pPr>
            <w:r w:rsidRPr="00AE35C1">
              <w:rPr>
                <w:rFonts w:ascii="Arial" w:hAnsi="Arial" w:cs="Arial"/>
                <w:color w:val="000000"/>
                <w:sz w:val="15"/>
                <w:szCs w:val="15"/>
              </w:rPr>
              <w:t>▼</w:t>
            </w:r>
            <w:r w:rsidRPr="00AE35C1">
              <w:rPr>
                <w:color w:val="000000"/>
                <w:sz w:val="15"/>
                <w:szCs w:val="15"/>
              </w:rPr>
              <w:t xml:space="preserve"> /</w:t>
            </w:r>
          </w:p>
          <w:p w:rsidR="00AF1499" w:rsidRPr="00AE35C1" w:rsidRDefault="00AF1499" w:rsidP="00FD0968">
            <w:pPr>
              <w:spacing w:before="20" w:after="20" w:line="288" w:lineRule="auto"/>
              <w:jc w:val="center"/>
              <w:rPr>
                <w:color w:val="000000"/>
                <w:sz w:val="15"/>
                <w:szCs w:val="15"/>
              </w:rPr>
            </w:pPr>
            <w:r w:rsidRPr="00AE35C1">
              <w:rPr>
                <w:rFonts w:ascii="Arial" w:hAnsi="Arial" w:cs="Arial"/>
                <w:color w:val="000000"/>
                <w:sz w:val="15"/>
                <w:szCs w:val="15"/>
              </w:rPr>
              <w:lastRenderedPageBreak/>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lastRenderedPageBreak/>
              <w:t>6,</w:t>
            </w:r>
            <w:r w:rsidR="007E3EA9">
              <w:rPr>
                <w:color w:val="000000"/>
                <w:sz w:val="15"/>
                <w:szCs w:val="15"/>
              </w:rPr>
              <w:t>2</w:t>
            </w:r>
            <w:r w:rsidRPr="00AE35C1">
              <w:rPr>
                <w:color w:val="000000"/>
                <w:sz w:val="15"/>
                <w:szCs w:val="15"/>
              </w:rPr>
              <w:t>/</w:t>
            </w:r>
          </w:p>
          <w:p w:rsidR="00AF1499" w:rsidRPr="00AE35C1" w:rsidRDefault="00AF1499" w:rsidP="007E3EA9">
            <w:pPr>
              <w:spacing w:before="20" w:after="20" w:line="240" w:lineRule="auto"/>
              <w:jc w:val="center"/>
              <w:rPr>
                <w:color w:val="000000"/>
                <w:sz w:val="15"/>
                <w:szCs w:val="15"/>
              </w:rPr>
            </w:pPr>
            <w:r w:rsidRPr="00AE35C1">
              <w:rPr>
                <w:color w:val="000000"/>
                <w:sz w:val="15"/>
                <w:szCs w:val="15"/>
              </w:rPr>
              <w:lastRenderedPageBreak/>
              <w:t>3,</w:t>
            </w:r>
            <w:r w:rsidR="007E3EA9">
              <w:rPr>
                <w:color w:val="000000"/>
                <w:sz w:val="15"/>
                <w:szCs w:val="15"/>
              </w:rPr>
              <w:t>3</w:t>
            </w:r>
          </w:p>
        </w:tc>
        <w:tc>
          <w:tcPr>
            <w:tcW w:w="963" w:type="dxa"/>
            <w:shd w:val="clear" w:color="auto" w:fill="D9D9D9"/>
            <w:vAlign w:val="center"/>
          </w:tcPr>
          <w:p w:rsidR="00AF1499"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lastRenderedPageBreak/>
              <w:t>7,0</w:t>
            </w:r>
          </w:p>
          <w:p w:rsidR="00AF1499" w:rsidRPr="00AE35C1" w:rsidRDefault="00AF1499" w:rsidP="00E73C96">
            <w:pPr>
              <w:spacing w:before="20" w:after="20" w:line="240" w:lineRule="auto"/>
              <w:jc w:val="center"/>
              <w:rPr>
                <w:rFonts w:ascii="Arial" w:hAnsi="Arial" w:cs="Arial"/>
                <w:color w:val="000000"/>
                <w:sz w:val="15"/>
                <w:szCs w:val="15"/>
              </w:rPr>
            </w:pPr>
            <w:r>
              <w:rPr>
                <w:rFonts w:ascii="Arial" w:hAnsi="Arial" w:cs="Arial"/>
                <w:color w:val="000000"/>
                <w:sz w:val="15"/>
                <w:szCs w:val="15"/>
              </w:rPr>
              <w:lastRenderedPageBreak/>
              <w:t>6,0</w:t>
            </w:r>
          </w:p>
        </w:tc>
      </w:tr>
      <w:tr w:rsidR="00D113CA" w:rsidRPr="00AE35C1" w:rsidTr="00D113CA">
        <w:tc>
          <w:tcPr>
            <w:tcW w:w="0" w:type="auto"/>
            <w:vMerge w:val="restart"/>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r w:rsidRPr="00AE35C1">
              <w:rPr>
                <w:rFonts w:cs="Calibri"/>
                <w:b/>
                <w:color w:val="000000"/>
                <w:sz w:val="18"/>
                <w:szCs w:val="18"/>
              </w:rPr>
              <w:lastRenderedPageBreak/>
              <w:t>2.</w:t>
            </w:r>
          </w:p>
        </w:tc>
        <w:tc>
          <w:tcPr>
            <w:tcW w:w="0" w:type="auto"/>
            <w:vMerge w:val="restart"/>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color w:val="000000"/>
                <w:sz w:val="12"/>
                <w:szCs w:val="12"/>
              </w:rPr>
            </w:pPr>
            <w:r w:rsidRPr="00AE35C1">
              <w:rPr>
                <w:rFonts w:ascii="Century Gothic" w:hAnsi="Century Gothic"/>
                <w:b/>
                <w:color w:val="000000"/>
                <w:sz w:val="12"/>
                <w:szCs w:val="12"/>
              </w:rPr>
              <w:t>POPRAWA JAKOŚCI I DOSTĘPNOŚCI USŁUG PUBLICZNYCH</w:t>
            </w: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8</w:t>
            </w:r>
          </w:p>
        </w:tc>
        <w:tc>
          <w:tcPr>
            <w:tcW w:w="0" w:type="auto"/>
            <w:tcBorders>
              <w:bottom w:val="single" w:sz="18" w:space="0" w:color="FFFFFF"/>
            </w:tcBorders>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Budynki mieszkalne podłączone do kanalizacji w % ogółu budynków mieszkalnych [%]</w:t>
            </w:r>
          </w:p>
        </w:tc>
        <w:tc>
          <w:tcPr>
            <w:tcW w:w="0" w:type="auto"/>
            <w:tcBorders>
              <w:bottom w:val="single" w:sz="18" w:space="0" w:color="FFFFFF"/>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tcBorders>
              <w:bottom w:val="single" w:sz="18" w:space="0" w:color="FFFFFF"/>
            </w:tcBorders>
            <w:shd w:val="clear" w:color="auto" w:fill="D9D9D9"/>
            <w:vAlign w:val="center"/>
          </w:tcPr>
          <w:p w:rsidR="00AF1499" w:rsidRPr="00AE35C1" w:rsidRDefault="00AF1499" w:rsidP="00FD0968">
            <w:pPr>
              <w:spacing w:before="20" w:after="20" w:line="240" w:lineRule="auto"/>
              <w:jc w:val="center"/>
              <w:rPr>
                <w:color w:val="000000"/>
                <w:sz w:val="15"/>
                <w:szCs w:val="15"/>
                <w:vertAlign w:val="superscript"/>
              </w:rPr>
            </w:pPr>
            <w:r w:rsidRPr="00AE35C1">
              <w:rPr>
                <w:rFonts w:ascii="Arial" w:hAnsi="Arial" w:cs="Arial"/>
                <w:color w:val="000000"/>
                <w:sz w:val="15"/>
                <w:szCs w:val="15"/>
              </w:rPr>
              <w:t>▲</w:t>
            </w:r>
          </w:p>
        </w:tc>
        <w:tc>
          <w:tcPr>
            <w:tcW w:w="0" w:type="auto"/>
            <w:tcBorders>
              <w:bottom w:val="single" w:sz="18" w:space="0" w:color="FFFFFF"/>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59,2</w:t>
            </w:r>
          </w:p>
        </w:tc>
        <w:tc>
          <w:tcPr>
            <w:tcW w:w="963" w:type="dxa"/>
            <w:tcBorders>
              <w:bottom w:val="single" w:sz="18" w:space="0" w:color="FFFFFF"/>
            </w:tcBorders>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73,0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9</w:t>
            </w:r>
          </w:p>
        </w:tc>
        <w:tc>
          <w:tcPr>
            <w:tcW w:w="0" w:type="auto"/>
            <w:tcBorders>
              <w:top w:val="single" w:sz="18" w:space="0" w:color="FFFFFF"/>
            </w:tcBorders>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Odsetek dzieci objętych opieką w żłobkach [%]</w:t>
            </w:r>
          </w:p>
        </w:tc>
        <w:tc>
          <w:tcPr>
            <w:tcW w:w="0" w:type="auto"/>
            <w:tcBorders>
              <w:top w:val="single" w:sz="18" w:space="0" w:color="FFFFFF"/>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tcBorders>
              <w:top w:val="single" w:sz="18" w:space="0" w:color="FFFFFF"/>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tcBorders>
              <w:top w:val="single" w:sz="18" w:space="0" w:color="FFFFFF"/>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12,5</w:t>
            </w:r>
          </w:p>
        </w:tc>
        <w:tc>
          <w:tcPr>
            <w:tcW w:w="963" w:type="dxa"/>
            <w:tcBorders>
              <w:top w:val="single" w:sz="18" w:space="0" w:color="FFFFFF"/>
            </w:tcBorders>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20,0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10</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Liczba miejsc w placówek stacjonarnej pomocy społecznej [szt.]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8 223</w:t>
            </w:r>
          </w:p>
        </w:tc>
        <w:tc>
          <w:tcPr>
            <w:tcW w:w="963" w:type="dxa"/>
            <w:shd w:val="clear" w:color="auto" w:fill="D9D9D9"/>
            <w:vAlign w:val="center"/>
          </w:tcPr>
          <w:p w:rsidR="00AF1499" w:rsidRPr="00AE35C1" w:rsidRDefault="00AF1499" w:rsidP="007E3EA9">
            <w:pPr>
              <w:spacing w:before="20" w:after="20" w:line="240" w:lineRule="auto"/>
              <w:jc w:val="center"/>
              <w:rPr>
                <w:color w:val="000000"/>
                <w:sz w:val="15"/>
                <w:szCs w:val="15"/>
              </w:rPr>
            </w:pPr>
            <w:r>
              <w:rPr>
                <w:color w:val="000000"/>
                <w:sz w:val="15"/>
                <w:szCs w:val="15"/>
              </w:rPr>
              <w:t>9 800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11</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Liczba osób, którym decyzją przyznano świadczenia z pomocy społecznej na 10 tys. ludności [osoba]</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322,3</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240,0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12</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Odsetek dzieci w wieku 3-5 lat objętych wychowaniem przedszkolnym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81,9</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89,0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13</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Odsetek przedsiębiorstw sektora niefinansowego wykorzystujących Internet w kontaktach z administracją publiczną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7E3EA9">
            <w:pPr>
              <w:spacing w:before="20" w:after="20" w:line="240" w:lineRule="auto"/>
              <w:jc w:val="center"/>
              <w:rPr>
                <w:color w:val="000000"/>
                <w:sz w:val="15"/>
                <w:szCs w:val="15"/>
                <w:vertAlign w:val="superscript"/>
              </w:rPr>
            </w:pPr>
            <w:r w:rsidRPr="00AE35C1">
              <w:rPr>
                <w:color w:val="000000"/>
                <w:sz w:val="15"/>
                <w:szCs w:val="15"/>
              </w:rPr>
              <w:t>9</w:t>
            </w:r>
            <w:r w:rsidR="007E3EA9">
              <w:rPr>
                <w:color w:val="000000"/>
                <w:sz w:val="15"/>
                <w:szCs w:val="15"/>
              </w:rPr>
              <w:t>5,5</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99,0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14</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Zgony niemowląt na 1000 urodzeń żywych</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3,8</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3,3</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15</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Liczba uczestników imprez masowych ogółem (artystyczno-rozrywkowych, sportowych i interdyscyplinarnych) [tys. os.]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p w:rsidR="00AF1499" w:rsidRPr="00AE35C1" w:rsidRDefault="00AF1499" w:rsidP="00FD0968">
            <w:pPr>
              <w:spacing w:before="20" w:after="20" w:line="240" w:lineRule="auto"/>
              <w:jc w:val="center"/>
              <w:rPr>
                <w:rFonts w:ascii="Arial" w:hAnsi="Arial" w:cs="Arial"/>
                <w:color w:val="000000"/>
                <w:sz w:val="15"/>
                <w:szCs w:val="15"/>
              </w:rPr>
            </w:pPr>
            <w:r w:rsidRPr="00AE35C1">
              <w:rPr>
                <w:color w:val="000000"/>
                <w:sz w:val="15"/>
                <w:szCs w:val="15"/>
                <w:vertAlign w:val="superscript"/>
              </w:rPr>
              <w:t>2015-2016</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sz w:val="15"/>
                <w:szCs w:val="15"/>
              </w:rPr>
              <w:t>2 176,2</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2 300,0</w:t>
            </w:r>
          </w:p>
        </w:tc>
      </w:tr>
      <w:tr w:rsidR="00D113CA" w:rsidRPr="00AE35C1" w:rsidTr="00D113CA">
        <w:tc>
          <w:tcPr>
            <w:tcW w:w="0" w:type="auto"/>
            <w:vMerge w:val="restart"/>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r w:rsidRPr="00AE35C1">
              <w:rPr>
                <w:rFonts w:cs="Calibri"/>
                <w:b/>
                <w:color w:val="000000"/>
                <w:sz w:val="18"/>
                <w:szCs w:val="18"/>
              </w:rPr>
              <w:t>3.</w:t>
            </w:r>
          </w:p>
        </w:tc>
        <w:tc>
          <w:tcPr>
            <w:tcW w:w="0" w:type="auto"/>
            <w:vMerge w:val="restart"/>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r w:rsidRPr="00AE35C1">
              <w:rPr>
                <w:rFonts w:ascii="Century Gothic" w:hAnsi="Century Gothic"/>
                <w:b/>
                <w:color w:val="000000"/>
                <w:sz w:val="12"/>
                <w:szCs w:val="12"/>
              </w:rPr>
              <w:t>WZMOCNIENIE REGIONALNEGO KAPITAŁU LUDZKIEGO I SPOŁECZNEGO</w:t>
            </w: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16</w:t>
            </w:r>
          </w:p>
        </w:tc>
        <w:tc>
          <w:tcPr>
            <w:tcW w:w="0" w:type="auto"/>
            <w:shd w:val="clear" w:color="auto" w:fill="D9D9D9"/>
            <w:vAlign w:val="center"/>
          </w:tcPr>
          <w:p w:rsidR="00AF1499" w:rsidRPr="00AE35C1" w:rsidRDefault="00AF1499" w:rsidP="00FD0968">
            <w:pPr>
              <w:spacing w:before="20" w:after="20" w:line="240" w:lineRule="auto"/>
              <w:rPr>
                <w:bCs/>
                <w:color w:val="000000"/>
                <w:sz w:val="15"/>
                <w:szCs w:val="15"/>
              </w:rPr>
            </w:pPr>
            <w:r w:rsidRPr="00AE35C1">
              <w:rPr>
                <w:color w:val="000000"/>
                <w:sz w:val="15"/>
                <w:szCs w:val="15"/>
              </w:rPr>
              <w:t xml:space="preserve">Frekwencja w wyborach do organów jednostek samorządu terytorialnego </w:t>
            </w:r>
            <w:r>
              <w:rPr>
                <w:color w:val="000000"/>
                <w:sz w:val="15"/>
                <w:szCs w:val="15"/>
              </w:rPr>
              <w:t xml:space="preserve">(I tura) </w:t>
            </w:r>
            <w:r w:rsidRPr="00AE35C1">
              <w:rPr>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w:t>
            </w:r>
          </w:p>
        </w:tc>
        <w:tc>
          <w:tcPr>
            <w:tcW w:w="0" w:type="auto"/>
            <w:shd w:val="clear" w:color="auto" w:fill="D9D9D9"/>
            <w:vAlign w:val="center"/>
          </w:tcPr>
          <w:p w:rsidR="00AF1499" w:rsidRPr="00AE35C1" w:rsidRDefault="00AF1499" w:rsidP="003A4E8D">
            <w:pPr>
              <w:spacing w:before="20" w:after="20" w:line="240" w:lineRule="auto"/>
              <w:jc w:val="center"/>
              <w:rPr>
                <w:color w:val="000000"/>
                <w:sz w:val="15"/>
                <w:szCs w:val="15"/>
              </w:rPr>
            </w:pPr>
            <w:r w:rsidRPr="00AE35C1">
              <w:rPr>
                <w:color w:val="000000"/>
                <w:sz w:val="15"/>
                <w:szCs w:val="15"/>
              </w:rPr>
              <w:t>44,7</w:t>
            </w:r>
            <w:r>
              <w:rPr>
                <w:color w:val="000000"/>
                <w:sz w:val="15"/>
                <w:szCs w:val="15"/>
              </w:rPr>
              <w:t>5</w:t>
            </w:r>
            <w:r w:rsidR="00DF7C1C" w:rsidRPr="00D113CA">
              <w:rPr>
                <w:color w:val="000000"/>
                <w:sz w:val="15"/>
                <w:szCs w:val="15"/>
                <w:vertAlign w:val="superscript"/>
              </w:rPr>
              <w:t>2014</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51,0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17</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Osoby w wieku 25-64 lata uczestniczące w kształceniu lub szkoleniu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4,3</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5,5</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18</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Wskaźnik zagrożenia ubóstwem relatywnym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10,5</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9,0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19</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Liczba kobiet, które nie podjęły zatrudnienia po urodzeniu dziecka na 10 tys. mieszkańców [os.]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2"/>
                <w:szCs w:val="12"/>
              </w:rPr>
            </w:pPr>
            <w:r w:rsidRPr="00AE35C1">
              <w:rPr>
                <w:color w:val="000000"/>
                <w:sz w:val="12"/>
                <w:szCs w:val="12"/>
              </w:rPr>
              <w:t>G</w:t>
            </w:r>
            <w:r>
              <w:rPr>
                <w:color w:val="000000"/>
                <w:sz w:val="12"/>
                <w:szCs w:val="12"/>
              </w:rPr>
              <w:t>US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43,5</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39,0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20</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Zdawalność egzaminów maturalnych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6"/>
                <w:szCs w:val="16"/>
              </w:rPr>
            </w:pPr>
            <w:r w:rsidRPr="00AE35C1">
              <w:rPr>
                <w:color w:val="000000"/>
                <w:sz w:val="16"/>
                <w:szCs w:val="16"/>
              </w:rPr>
              <w:t>GUS</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77</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82</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21</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 xml:space="preserve">Liczba fundacji, stowarzyszeń i organizacji społecznych na 10 tys. mieszkańców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6"/>
                <w:szCs w:val="16"/>
              </w:rPr>
            </w:pPr>
            <w:r w:rsidRPr="00AE35C1">
              <w:rPr>
                <w:color w:val="000000"/>
                <w:sz w:val="16"/>
                <w:szCs w:val="16"/>
              </w:rPr>
              <w:t>GUS</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40,4</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46,0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22</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Wskaźnik zatrudnienia osób w wieku 20-64 lata wg BAEL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6"/>
                <w:szCs w:val="16"/>
              </w:rPr>
            </w:pPr>
            <w:r w:rsidRPr="00AE35C1">
              <w:rPr>
                <w:color w:val="000000"/>
                <w:sz w:val="16"/>
                <w:szCs w:val="16"/>
              </w:rPr>
              <w:t>GUS</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70</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73</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Default="00AF1499" w:rsidP="00FD0968">
            <w:pPr>
              <w:spacing w:before="20" w:after="20" w:line="240" w:lineRule="auto"/>
              <w:rPr>
                <w:color w:val="000000"/>
                <w:sz w:val="15"/>
                <w:szCs w:val="15"/>
              </w:rPr>
            </w:pPr>
            <w:r>
              <w:rPr>
                <w:color w:val="000000"/>
                <w:sz w:val="15"/>
                <w:szCs w:val="15"/>
              </w:rPr>
              <w:t>23</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Pr>
                <w:color w:val="000000"/>
                <w:sz w:val="15"/>
                <w:szCs w:val="15"/>
              </w:rPr>
              <w:t>Liczba widzów i słuchaczy teatrów i instytucji muzycznych na 1000 mieszkańców</w:t>
            </w:r>
          </w:p>
        </w:tc>
        <w:tc>
          <w:tcPr>
            <w:tcW w:w="0" w:type="auto"/>
            <w:shd w:val="clear" w:color="auto" w:fill="D9D9D9"/>
            <w:vAlign w:val="center"/>
          </w:tcPr>
          <w:p w:rsidR="009F7937" w:rsidRDefault="00AF1499" w:rsidP="00D113CA">
            <w:pPr>
              <w:spacing w:before="20" w:after="20" w:line="240" w:lineRule="auto"/>
              <w:rPr>
                <w:color w:val="000000"/>
                <w:sz w:val="16"/>
                <w:szCs w:val="16"/>
              </w:rPr>
            </w:pPr>
            <w:r>
              <w:rPr>
                <w:color w:val="000000"/>
                <w:sz w:val="16"/>
                <w:szCs w:val="16"/>
              </w:rPr>
              <w:t>GUS</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Pr>
                <w:color w:val="000000"/>
                <w:sz w:val="15"/>
                <w:szCs w:val="15"/>
              </w:rPr>
              <w:t>716</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750</w:t>
            </w:r>
          </w:p>
        </w:tc>
      </w:tr>
      <w:tr w:rsidR="00D113CA" w:rsidRPr="00AE35C1" w:rsidTr="00D113CA">
        <w:tc>
          <w:tcPr>
            <w:tcW w:w="0" w:type="auto"/>
            <w:vMerge w:val="restart"/>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r w:rsidRPr="00AE35C1">
              <w:rPr>
                <w:rFonts w:cs="Calibri"/>
                <w:b/>
                <w:color w:val="000000"/>
                <w:sz w:val="18"/>
                <w:szCs w:val="18"/>
              </w:rPr>
              <w:t>4.</w:t>
            </w:r>
          </w:p>
        </w:tc>
        <w:tc>
          <w:tcPr>
            <w:tcW w:w="0" w:type="auto"/>
            <w:vMerge w:val="restart"/>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r w:rsidRPr="00AE35C1">
              <w:rPr>
                <w:rFonts w:ascii="Century Gothic" w:hAnsi="Century Gothic"/>
                <w:b/>
                <w:color w:val="000000"/>
                <w:sz w:val="12"/>
                <w:szCs w:val="12"/>
              </w:rPr>
              <w:t>ODPOWIEDZIALNE WYKORZYSTANIE ZASOBÓW I OCHRONA WALORÓW ŚRODOWISKA NATURALNEGO</w:t>
            </w:r>
          </w:p>
          <w:p w:rsidR="00AF1499" w:rsidRPr="00AE35C1" w:rsidRDefault="00AF1499" w:rsidP="00FD0968">
            <w:pPr>
              <w:spacing w:before="20" w:after="20" w:line="288" w:lineRule="auto"/>
              <w:ind w:left="113" w:right="113"/>
              <w:jc w:val="center"/>
              <w:rPr>
                <w:rFonts w:ascii="Century Gothic" w:hAnsi="Century Gothic"/>
                <w:b/>
                <w:color w:val="000000"/>
                <w:sz w:val="12"/>
                <w:szCs w:val="12"/>
              </w:rPr>
            </w:pPr>
            <w:r w:rsidRPr="00AE35C1">
              <w:rPr>
                <w:rFonts w:ascii="Century Gothic" w:hAnsi="Century Gothic"/>
                <w:b/>
                <w:color w:val="000000"/>
                <w:sz w:val="12"/>
                <w:szCs w:val="12"/>
              </w:rPr>
              <w:t>I DZIEDZICTWA KULTUROWEGO</w:t>
            </w: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24</w:t>
            </w:r>
          </w:p>
        </w:tc>
        <w:tc>
          <w:tcPr>
            <w:tcW w:w="0" w:type="auto"/>
            <w:shd w:val="clear" w:color="auto" w:fill="D9D9D9"/>
            <w:vAlign w:val="center"/>
          </w:tcPr>
          <w:p w:rsidR="00AF1499" w:rsidRPr="00AE35C1" w:rsidRDefault="00AF1499" w:rsidP="00FD0968">
            <w:pPr>
              <w:spacing w:before="20" w:after="20" w:line="240" w:lineRule="auto"/>
              <w:rPr>
                <w:bCs/>
                <w:color w:val="000000"/>
                <w:sz w:val="15"/>
                <w:szCs w:val="15"/>
              </w:rPr>
            </w:pPr>
            <w:r w:rsidRPr="00AE35C1">
              <w:rPr>
                <w:color w:val="000000"/>
                <w:sz w:val="15"/>
                <w:szCs w:val="15"/>
              </w:rPr>
              <w:t>Udział gruntów zdewastowanych i zdegradowanych wymagających rekultywacji w powierzchni ogółem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6"/>
                <w:szCs w:val="16"/>
              </w:rPr>
            </w:pPr>
            <w:r w:rsidRPr="00AE35C1">
              <w:rPr>
                <w:color w:val="000000"/>
                <w:sz w:val="16"/>
                <w:szCs w:val="16"/>
              </w:rPr>
              <w:t>GUS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0,4</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0,2</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25</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Udział energii elektrycznej ze źródeł odnawialnych w produkcji energii elektrycznej ogółem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6,5</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22,0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26</w:t>
            </w:r>
          </w:p>
        </w:tc>
        <w:tc>
          <w:tcPr>
            <w:tcW w:w="0" w:type="auto"/>
            <w:tcBorders>
              <w:bottom w:val="single" w:sz="18" w:space="0" w:color="FFFFFF" w:themeColor="background1"/>
            </w:tcBorders>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 xml:space="preserve">Emisja zanieczyszczeń gazowych </w:t>
            </w:r>
            <w:r>
              <w:rPr>
                <w:color w:val="000000"/>
                <w:sz w:val="15"/>
                <w:szCs w:val="15"/>
              </w:rPr>
              <w:t>z</w:t>
            </w:r>
            <w:r w:rsidRPr="00AE35C1">
              <w:rPr>
                <w:color w:val="000000"/>
                <w:sz w:val="15"/>
                <w:szCs w:val="15"/>
              </w:rPr>
              <w:t> zakładów szczególnie uciążliwych SO</w:t>
            </w:r>
            <w:r w:rsidRPr="00AE35C1">
              <w:rPr>
                <w:color w:val="000000"/>
                <w:sz w:val="15"/>
                <w:szCs w:val="15"/>
                <w:vertAlign w:val="subscript"/>
              </w:rPr>
              <w:t xml:space="preserve">2 </w:t>
            </w:r>
            <w:r w:rsidRPr="00AE35C1">
              <w:rPr>
                <w:color w:val="000000"/>
                <w:sz w:val="15"/>
                <w:szCs w:val="15"/>
              </w:rPr>
              <w:t xml:space="preserve">/ </w:t>
            </w:r>
            <w:proofErr w:type="spellStart"/>
            <w:r w:rsidRPr="00AE35C1">
              <w:rPr>
                <w:color w:val="000000"/>
                <w:sz w:val="15"/>
                <w:szCs w:val="15"/>
              </w:rPr>
              <w:t>NO</w:t>
            </w:r>
            <w:r w:rsidRPr="00AE35C1">
              <w:rPr>
                <w:color w:val="000000"/>
                <w:sz w:val="15"/>
                <w:szCs w:val="15"/>
                <w:vertAlign w:val="subscript"/>
              </w:rPr>
              <w:t>x</w:t>
            </w:r>
            <w:proofErr w:type="spellEnd"/>
            <w:r w:rsidRPr="00AE35C1">
              <w:rPr>
                <w:color w:val="000000"/>
                <w:sz w:val="15"/>
                <w:szCs w:val="15"/>
                <w:vertAlign w:val="subscript"/>
              </w:rPr>
              <w:t xml:space="preserve"> </w:t>
            </w:r>
            <w:r w:rsidRPr="00AE35C1">
              <w:rPr>
                <w:color w:val="000000"/>
                <w:sz w:val="15"/>
                <w:szCs w:val="15"/>
              </w:rPr>
              <w:t>[kg na 1 mieszkańca]</w:t>
            </w:r>
          </w:p>
        </w:tc>
        <w:tc>
          <w:tcPr>
            <w:tcW w:w="0" w:type="auto"/>
            <w:tcBorders>
              <w:bottom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tcBorders>
              <w:bottom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tcBorders>
              <w:bottom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6,9 /</w:t>
            </w:r>
            <w:r w:rsidRPr="00AE35C1">
              <w:rPr>
                <w:color w:val="000000"/>
                <w:sz w:val="15"/>
                <w:szCs w:val="15"/>
              </w:rPr>
              <w:br/>
              <w:t>3,8</w:t>
            </w:r>
          </w:p>
        </w:tc>
        <w:tc>
          <w:tcPr>
            <w:tcW w:w="963" w:type="dxa"/>
            <w:tcBorders>
              <w:bottom w:val="single" w:sz="18" w:space="0" w:color="FFFFFF" w:themeColor="background1"/>
            </w:tcBorders>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4,8/ 2,9</w:t>
            </w:r>
          </w:p>
        </w:tc>
      </w:tr>
      <w:tr w:rsidR="009B325E" w:rsidRPr="00AE35C1" w:rsidTr="009B325E">
        <w:trPr>
          <w:trHeight w:val="189"/>
        </w:trPr>
        <w:tc>
          <w:tcPr>
            <w:tcW w:w="0" w:type="auto"/>
            <w:vMerge/>
            <w:shd w:val="clear" w:color="auto" w:fill="D9D9D9"/>
          </w:tcPr>
          <w:p w:rsidR="00AF1499" w:rsidRPr="00AE35C1" w:rsidRDefault="00AF1499" w:rsidP="00FD0968">
            <w:pPr>
              <w:spacing w:before="40" w:after="40" w:line="288" w:lineRule="auto"/>
              <w:ind w:right="-108" w:hanging="131"/>
              <w:jc w:val="center"/>
              <w:rPr>
                <w:rFonts w:cs="Calibri"/>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vMerge w:val="restart"/>
            <w:tcBorders>
              <w:right w:val="single" w:sz="18" w:space="0" w:color="FFFFFF" w:themeColor="background1"/>
            </w:tcBorders>
            <w:shd w:val="clear" w:color="auto" w:fill="D9D9D9"/>
          </w:tcPr>
          <w:p w:rsidR="00AF1499" w:rsidRDefault="00AF1499" w:rsidP="00F149B8">
            <w:pPr>
              <w:spacing w:before="20" w:after="20" w:line="240" w:lineRule="auto"/>
              <w:rPr>
                <w:color w:val="000000"/>
                <w:sz w:val="15"/>
                <w:szCs w:val="15"/>
              </w:rPr>
            </w:pPr>
            <w:r>
              <w:rPr>
                <w:color w:val="000000"/>
                <w:sz w:val="15"/>
                <w:szCs w:val="15"/>
              </w:rPr>
              <w:t>27</w:t>
            </w:r>
          </w:p>
        </w:tc>
        <w:tc>
          <w:tcPr>
            <w:tcW w:w="0" w:type="auto"/>
            <w:tcBorders>
              <w:top w:val="single" w:sz="18" w:space="0" w:color="FFFFFF" w:themeColor="background1"/>
              <w:left w:val="single" w:sz="18" w:space="0" w:color="FFFFFF" w:themeColor="background1"/>
              <w:bottom w:val="single" w:sz="18" w:space="0" w:color="D9D9D9" w:themeColor="background1" w:themeShade="D9"/>
            </w:tcBorders>
            <w:shd w:val="clear" w:color="auto" w:fill="D9D9D9" w:themeFill="background1" w:themeFillShade="D9"/>
            <w:vAlign w:val="center"/>
          </w:tcPr>
          <w:p w:rsidR="00AF1499" w:rsidRPr="00AE35C1" w:rsidRDefault="00AF1499" w:rsidP="00F149B8">
            <w:pPr>
              <w:spacing w:before="20" w:after="20" w:line="240" w:lineRule="auto"/>
              <w:rPr>
                <w:color w:val="000000"/>
                <w:sz w:val="15"/>
                <w:szCs w:val="15"/>
              </w:rPr>
            </w:pPr>
            <w:r>
              <w:rPr>
                <w:color w:val="000000"/>
                <w:sz w:val="15"/>
                <w:szCs w:val="15"/>
              </w:rPr>
              <w:t>Klasa stref dla pyłów zawieszonych PM 10 (wartość średniodobowa):</w:t>
            </w:r>
          </w:p>
        </w:tc>
        <w:tc>
          <w:tcPr>
            <w:tcW w:w="0" w:type="auto"/>
            <w:vMerge w:val="restart"/>
            <w:tcBorders>
              <w:right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Pr>
                <w:color w:val="000000"/>
                <w:sz w:val="15"/>
                <w:szCs w:val="15"/>
              </w:rPr>
              <w:t>WIOŚ</w:t>
            </w:r>
          </w:p>
        </w:tc>
        <w:tc>
          <w:tcPr>
            <w:tcW w:w="0" w:type="auto"/>
            <w:tcBorders>
              <w:top w:val="nil"/>
              <w:left w:val="single" w:sz="18" w:space="0" w:color="FFFFFF" w:themeColor="background1"/>
              <w:bottom w:val="nil"/>
              <w:right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p>
        </w:tc>
        <w:tc>
          <w:tcPr>
            <w:tcW w:w="0" w:type="auto"/>
            <w:tcBorders>
              <w:top w:val="nil"/>
              <w:left w:val="single" w:sz="18" w:space="0" w:color="FFFFFF" w:themeColor="background1"/>
              <w:bottom w:val="nil"/>
              <w:right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color w:val="000000"/>
                <w:sz w:val="15"/>
                <w:szCs w:val="15"/>
              </w:rPr>
            </w:pPr>
          </w:p>
        </w:tc>
        <w:tc>
          <w:tcPr>
            <w:tcW w:w="963" w:type="dxa"/>
            <w:tcBorders>
              <w:top w:val="nil"/>
              <w:left w:val="single" w:sz="18" w:space="0" w:color="FFFFFF" w:themeColor="background1"/>
              <w:bottom w:val="nil"/>
              <w:right w:val="single" w:sz="18" w:space="0" w:color="FFFFFF" w:themeColor="background1"/>
            </w:tcBorders>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p>
        </w:tc>
      </w:tr>
      <w:tr w:rsidR="00D113CA" w:rsidRPr="00AE35C1" w:rsidTr="00D113CA">
        <w:trPr>
          <w:trHeight w:val="186"/>
        </w:trPr>
        <w:tc>
          <w:tcPr>
            <w:tcW w:w="0" w:type="auto"/>
            <w:vMerge/>
            <w:shd w:val="clear" w:color="auto" w:fill="D9D9D9"/>
          </w:tcPr>
          <w:p w:rsidR="00AF1499" w:rsidRPr="00AE35C1" w:rsidRDefault="00AF1499" w:rsidP="00FD0968">
            <w:pPr>
              <w:spacing w:before="40" w:after="40" w:line="288" w:lineRule="auto"/>
              <w:ind w:right="-108" w:hanging="131"/>
              <w:jc w:val="center"/>
              <w:rPr>
                <w:rFonts w:cs="Calibri"/>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vMerge/>
            <w:tcBorders>
              <w:right w:val="single" w:sz="18" w:space="0" w:color="FFFFFF" w:themeColor="background1"/>
            </w:tcBorders>
            <w:shd w:val="clear" w:color="auto" w:fill="D9D9D9"/>
          </w:tcPr>
          <w:p w:rsidR="00AF1499" w:rsidRDefault="00AF1499" w:rsidP="00FD0968">
            <w:pPr>
              <w:spacing w:before="20" w:after="20" w:line="240" w:lineRule="auto"/>
              <w:rPr>
                <w:color w:val="000000"/>
                <w:sz w:val="15"/>
                <w:szCs w:val="15"/>
              </w:rPr>
            </w:pPr>
          </w:p>
        </w:tc>
        <w:tc>
          <w:tcPr>
            <w:tcW w:w="0" w:type="auto"/>
            <w:tcBorders>
              <w:top w:val="single" w:sz="18" w:space="0" w:color="D9D9D9" w:themeColor="background1" w:themeShade="D9"/>
              <w:left w:val="single" w:sz="18" w:space="0" w:color="FFFFFF" w:themeColor="background1"/>
              <w:bottom w:val="nil"/>
              <w:right w:val="single" w:sz="18" w:space="0" w:color="FFFFFF" w:themeColor="background1"/>
            </w:tcBorders>
            <w:shd w:val="clear" w:color="auto" w:fill="D9D9D9" w:themeFill="background1" w:themeFillShade="D9"/>
            <w:vAlign w:val="center"/>
          </w:tcPr>
          <w:p w:rsidR="00AF1499" w:rsidRDefault="00AF1499" w:rsidP="00FD0968">
            <w:pPr>
              <w:spacing w:before="20" w:after="20" w:line="240" w:lineRule="auto"/>
              <w:rPr>
                <w:color w:val="000000"/>
                <w:sz w:val="15"/>
                <w:szCs w:val="15"/>
              </w:rPr>
            </w:pPr>
            <w:r>
              <w:rPr>
                <w:color w:val="000000"/>
                <w:sz w:val="15"/>
                <w:szCs w:val="15"/>
              </w:rPr>
              <w:t>- aglomeracja wrocławska</w:t>
            </w:r>
          </w:p>
        </w:tc>
        <w:tc>
          <w:tcPr>
            <w:tcW w:w="0" w:type="auto"/>
            <w:vMerge/>
            <w:tcBorders>
              <w:left w:val="single" w:sz="18" w:space="0" w:color="FFFFFF" w:themeColor="background1"/>
              <w:right w:val="single" w:sz="18" w:space="0" w:color="FFFFFF" w:themeColor="background1"/>
            </w:tcBorders>
            <w:shd w:val="clear" w:color="auto" w:fill="D9D9D9"/>
            <w:vAlign w:val="center"/>
          </w:tcPr>
          <w:p w:rsidR="00AF1499" w:rsidRDefault="00AF1499" w:rsidP="00FD0968">
            <w:pPr>
              <w:spacing w:before="20" w:after="20" w:line="240" w:lineRule="auto"/>
              <w:jc w:val="center"/>
              <w:rPr>
                <w:color w:val="000000"/>
                <w:sz w:val="15"/>
                <w:szCs w:val="15"/>
              </w:rPr>
            </w:pPr>
          </w:p>
        </w:tc>
        <w:tc>
          <w:tcPr>
            <w:tcW w:w="0" w:type="auto"/>
            <w:tcBorders>
              <w:top w:val="nil"/>
              <w:left w:val="single" w:sz="18" w:space="0" w:color="FFFFFF" w:themeColor="background1"/>
              <w:bottom w:val="nil"/>
              <w:right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tcBorders>
              <w:top w:val="nil"/>
              <w:left w:val="single" w:sz="18" w:space="0" w:color="FFFFFF" w:themeColor="background1"/>
              <w:bottom w:val="nil"/>
              <w:right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Pr>
                <w:color w:val="000000"/>
                <w:sz w:val="15"/>
                <w:szCs w:val="15"/>
              </w:rPr>
              <w:t>C</w:t>
            </w:r>
          </w:p>
        </w:tc>
        <w:tc>
          <w:tcPr>
            <w:tcW w:w="963" w:type="dxa"/>
            <w:tcBorders>
              <w:top w:val="nil"/>
              <w:left w:val="single" w:sz="18" w:space="0" w:color="FFFFFF" w:themeColor="background1"/>
              <w:bottom w:val="nil"/>
              <w:right w:val="single" w:sz="18" w:space="0" w:color="FFFFFF" w:themeColor="background1"/>
            </w:tcBorders>
            <w:shd w:val="clear" w:color="auto" w:fill="D9D9D9" w:themeFill="background1" w:themeFillShade="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A</w:t>
            </w:r>
          </w:p>
        </w:tc>
      </w:tr>
      <w:tr w:rsidR="00E73C96" w:rsidRPr="00AE35C1" w:rsidTr="00E73C96">
        <w:trPr>
          <w:trHeight w:val="186"/>
        </w:trPr>
        <w:tc>
          <w:tcPr>
            <w:tcW w:w="0" w:type="auto"/>
            <w:vMerge/>
            <w:shd w:val="clear" w:color="auto" w:fill="D9D9D9"/>
          </w:tcPr>
          <w:p w:rsidR="00AF1499" w:rsidRPr="00AE35C1" w:rsidRDefault="00AF1499" w:rsidP="00FD0968">
            <w:pPr>
              <w:spacing w:before="40" w:after="40" w:line="288" w:lineRule="auto"/>
              <w:ind w:right="-108" w:hanging="131"/>
              <w:jc w:val="center"/>
              <w:rPr>
                <w:rFonts w:cs="Calibri"/>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vMerge/>
            <w:tcBorders>
              <w:right w:val="single" w:sz="18" w:space="0" w:color="FFFFFF" w:themeColor="background1"/>
            </w:tcBorders>
            <w:shd w:val="clear" w:color="auto" w:fill="D9D9D9"/>
          </w:tcPr>
          <w:p w:rsidR="00AF1499" w:rsidRDefault="00AF1499" w:rsidP="00FD0968">
            <w:pPr>
              <w:spacing w:before="20" w:after="20" w:line="240" w:lineRule="auto"/>
              <w:rPr>
                <w:color w:val="000000"/>
                <w:sz w:val="15"/>
                <w:szCs w:val="15"/>
              </w:rPr>
            </w:pPr>
          </w:p>
        </w:tc>
        <w:tc>
          <w:tcPr>
            <w:tcW w:w="0" w:type="auto"/>
            <w:tcBorders>
              <w:top w:val="nil"/>
              <w:left w:val="single" w:sz="18" w:space="0" w:color="FFFFFF" w:themeColor="background1"/>
              <w:bottom w:val="nil"/>
              <w:right w:val="single" w:sz="18" w:space="0" w:color="FFFFFF" w:themeColor="background1"/>
            </w:tcBorders>
            <w:shd w:val="clear" w:color="auto" w:fill="D9D9D9"/>
            <w:vAlign w:val="center"/>
          </w:tcPr>
          <w:p w:rsidR="00AF1499" w:rsidRDefault="00AF1499" w:rsidP="00FD0968">
            <w:pPr>
              <w:spacing w:before="20" w:after="20" w:line="240" w:lineRule="auto"/>
              <w:rPr>
                <w:color w:val="000000"/>
                <w:sz w:val="15"/>
                <w:szCs w:val="15"/>
              </w:rPr>
            </w:pPr>
            <w:r>
              <w:rPr>
                <w:color w:val="000000"/>
                <w:sz w:val="15"/>
                <w:szCs w:val="15"/>
              </w:rPr>
              <w:t>- miasto Legnica</w:t>
            </w:r>
          </w:p>
        </w:tc>
        <w:tc>
          <w:tcPr>
            <w:tcW w:w="0" w:type="auto"/>
            <w:vMerge/>
            <w:tcBorders>
              <w:left w:val="single" w:sz="18" w:space="0" w:color="FFFFFF" w:themeColor="background1"/>
              <w:right w:val="single" w:sz="18" w:space="0" w:color="FFFFFF" w:themeColor="background1"/>
            </w:tcBorders>
            <w:shd w:val="clear" w:color="auto" w:fill="D9D9D9"/>
            <w:vAlign w:val="center"/>
          </w:tcPr>
          <w:p w:rsidR="00AF1499" w:rsidRDefault="00AF1499" w:rsidP="00FD0968">
            <w:pPr>
              <w:spacing w:before="20" w:after="20" w:line="240" w:lineRule="auto"/>
              <w:jc w:val="center"/>
              <w:rPr>
                <w:color w:val="000000"/>
                <w:sz w:val="15"/>
                <w:szCs w:val="15"/>
              </w:rPr>
            </w:pPr>
          </w:p>
        </w:tc>
        <w:tc>
          <w:tcPr>
            <w:tcW w:w="0" w:type="auto"/>
            <w:tcBorders>
              <w:top w:val="nil"/>
              <w:left w:val="single" w:sz="18" w:space="0" w:color="FFFFFF" w:themeColor="background1"/>
              <w:bottom w:val="nil"/>
              <w:right w:val="single" w:sz="18" w:space="0" w:color="FFFFFF" w:themeColor="background1"/>
            </w:tcBorders>
            <w:shd w:val="clear" w:color="auto" w:fill="D9D9D9"/>
            <w:vAlign w:val="center"/>
          </w:tcPr>
          <w:p w:rsidR="00AF1499" w:rsidRPr="00AE35C1" w:rsidRDefault="00AF1499" w:rsidP="00F149B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tcBorders>
              <w:top w:val="nil"/>
              <w:left w:val="single" w:sz="18" w:space="0" w:color="FFFFFF" w:themeColor="background1"/>
              <w:bottom w:val="nil"/>
              <w:right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Pr>
                <w:color w:val="000000"/>
                <w:sz w:val="15"/>
                <w:szCs w:val="15"/>
              </w:rPr>
              <w:t>C</w:t>
            </w:r>
          </w:p>
        </w:tc>
        <w:tc>
          <w:tcPr>
            <w:tcW w:w="963" w:type="dxa"/>
            <w:tcBorders>
              <w:top w:val="nil"/>
              <w:left w:val="single" w:sz="18" w:space="0" w:color="FFFFFF" w:themeColor="background1"/>
              <w:bottom w:val="nil"/>
              <w:right w:val="single" w:sz="18" w:space="0" w:color="FFFFFF" w:themeColor="background1"/>
            </w:tcBorders>
            <w:shd w:val="clear" w:color="auto" w:fill="D9D9D9" w:themeFill="background1" w:themeFillShade="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A</w:t>
            </w:r>
          </w:p>
        </w:tc>
      </w:tr>
      <w:tr w:rsidR="00E73C96" w:rsidRPr="00AE35C1" w:rsidTr="00E73C96">
        <w:trPr>
          <w:trHeight w:val="186"/>
        </w:trPr>
        <w:tc>
          <w:tcPr>
            <w:tcW w:w="0" w:type="auto"/>
            <w:vMerge/>
            <w:shd w:val="clear" w:color="auto" w:fill="D9D9D9"/>
          </w:tcPr>
          <w:p w:rsidR="00AF1499" w:rsidRPr="00AE35C1" w:rsidRDefault="00AF1499" w:rsidP="00FD0968">
            <w:pPr>
              <w:spacing w:before="40" w:after="40" w:line="288" w:lineRule="auto"/>
              <w:ind w:right="-108" w:hanging="131"/>
              <w:jc w:val="center"/>
              <w:rPr>
                <w:rFonts w:cs="Calibri"/>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vMerge/>
            <w:tcBorders>
              <w:right w:val="single" w:sz="18" w:space="0" w:color="FFFFFF" w:themeColor="background1"/>
            </w:tcBorders>
            <w:shd w:val="clear" w:color="auto" w:fill="D9D9D9"/>
          </w:tcPr>
          <w:p w:rsidR="00AF1499" w:rsidRDefault="00AF1499" w:rsidP="00FD0968">
            <w:pPr>
              <w:spacing w:before="20" w:after="20" w:line="240" w:lineRule="auto"/>
              <w:rPr>
                <w:color w:val="000000"/>
                <w:sz w:val="15"/>
                <w:szCs w:val="15"/>
              </w:rPr>
            </w:pPr>
          </w:p>
        </w:tc>
        <w:tc>
          <w:tcPr>
            <w:tcW w:w="0" w:type="auto"/>
            <w:tcBorders>
              <w:top w:val="nil"/>
              <w:left w:val="single" w:sz="18" w:space="0" w:color="FFFFFF" w:themeColor="background1"/>
              <w:bottom w:val="nil"/>
              <w:right w:val="single" w:sz="18" w:space="0" w:color="FFFFFF" w:themeColor="background1"/>
            </w:tcBorders>
            <w:shd w:val="clear" w:color="auto" w:fill="D9D9D9"/>
            <w:vAlign w:val="center"/>
          </w:tcPr>
          <w:p w:rsidR="00AF1499" w:rsidRDefault="00AF1499" w:rsidP="00FD0968">
            <w:pPr>
              <w:spacing w:before="20" w:after="20" w:line="240" w:lineRule="auto"/>
              <w:rPr>
                <w:color w:val="000000"/>
                <w:sz w:val="15"/>
                <w:szCs w:val="15"/>
              </w:rPr>
            </w:pPr>
            <w:r>
              <w:rPr>
                <w:color w:val="000000"/>
                <w:sz w:val="15"/>
                <w:szCs w:val="15"/>
              </w:rPr>
              <w:t>- miasto Wałbrzych</w:t>
            </w:r>
          </w:p>
        </w:tc>
        <w:tc>
          <w:tcPr>
            <w:tcW w:w="0" w:type="auto"/>
            <w:vMerge/>
            <w:tcBorders>
              <w:left w:val="single" w:sz="18" w:space="0" w:color="FFFFFF" w:themeColor="background1"/>
              <w:right w:val="single" w:sz="18" w:space="0" w:color="FFFFFF" w:themeColor="background1"/>
            </w:tcBorders>
            <w:shd w:val="clear" w:color="auto" w:fill="D9D9D9"/>
            <w:vAlign w:val="center"/>
          </w:tcPr>
          <w:p w:rsidR="00AF1499" w:rsidRDefault="00AF1499" w:rsidP="00FD0968">
            <w:pPr>
              <w:spacing w:before="20" w:after="20" w:line="240" w:lineRule="auto"/>
              <w:jc w:val="center"/>
              <w:rPr>
                <w:color w:val="000000"/>
                <w:sz w:val="15"/>
                <w:szCs w:val="15"/>
              </w:rPr>
            </w:pPr>
          </w:p>
        </w:tc>
        <w:tc>
          <w:tcPr>
            <w:tcW w:w="0" w:type="auto"/>
            <w:tcBorders>
              <w:top w:val="nil"/>
              <w:left w:val="single" w:sz="18" w:space="0" w:color="FFFFFF" w:themeColor="background1"/>
              <w:bottom w:val="nil"/>
              <w:right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tcBorders>
              <w:top w:val="nil"/>
              <w:left w:val="single" w:sz="18" w:space="0" w:color="FFFFFF" w:themeColor="background1"/>
              <w:bottom w:val="nil"/>
              <w:right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Pr>
                <w:color w:val="000000"/>
                <w:sz w:val="15"/>
                <w:szCs w:val="15"/>
              </w:rPr>
              <w:t>A</w:t>
            </w:r>
          </w:p>
        </w:tc>
        <w:tc>
          <w:tcPr>
            <w:tcW w:w="963" w:type="dxa"/>
            <w:tcBorders>
              <w:top w:val="nil"/>
              <w:left w:val="single" w:sz="18" w:space="0" w:color="FFFFFF" w:themeColor="background1"/>
              <w:bottom w:val="nil"/>
              <w:right w:val="single" w:sz="18" w:space="0" w:color="FFFFFF" w:themeColor="background1"/>
            </w:tcBorders>
            <w:shd w:val="clear" w:color="auto" w:fill="D9D9D9" w:themeFill="background1" w:themeFillShade="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A</w:t>
            </w:r>
          </w:p>
        </w:tc>
      </w:tr>
      <w:tr w:rsidR="00E73C96" w:rsidRPr="00AE35C1" w:rsidTr="00E73C96">
        <w:trPr>
          <w:trHeight w:val="186"/>
        </w:trPr>
        <w:tc>
          <w:tcPr>
            <w:tcW w:w="0" w:type="auto"/>
            <w:vMerge/>
            <w:shd w:val="clear" w:color="auto" w:fill="D9D9D9"/>
          </w:tcPr>
          <w:p w:rsidR="00AF1499" w:rsidRPr="00AE35C1" w:rsidRDefault="00AF1499" w:rsidP="00FD0968">
            <w:pPr>
              <w:spacing w:before="40" w:after="40" w:line="288" w:lineRule="auto"/>
              <w:ind w:right="-108" w:hanging="131"/>
              <w:jc w:val="center"/>
              <w:rPr>
                <w:rFonts w:cs="Calibri"/>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vMerge/>
            <w:tcBorders>
              <w:right w:val="single" w:sz="18" w:space="0" w:color="FFFFFF" w:themeColor="background1"/>
            </w:tcBorders>
            <w:shd w:val="clear" w:color="auto" w:fill="D9D9D9"/>
          </w:tcPr>
          <w:p w:rsidR="00AF1499" w:rsidRDefault="00AF1499" w:rsidP="00FD0968">
            <w:pPr>
              <w:spacing w:before="20" w:after="20" w:line="240" w:lineRule="auto"/>
              <w:rPr>
                <w:color w:val="000000"/>
                <w:sz w:val="15"/>
                <w:szCs w:val="15"/>
              </w:rPr>
            </w:pPr>
          </w:p>
        </w:tc>
        <w:tc>
          <w:tcPr>
            <w:tcW w:w="0" w:type="auto"/>
            <w:tcBorders>
              <w:top w:val="nil"/>
              <w:left w:val="single" w:sz="18" w:space="0" w:color="FFFFFF" w:themeColor="background1"/>
              <w:bottom w:val="single" w:sz="18" w:space="0" w:color="FFFFFF" w:themeColor="background1"/>
              <w:right w:val="single" w:sz="18" w:space="0" w:color="FFFFFF" w:themeColor="background1"/>
            </w:tcBorders>
            <w:shd w:val="clear" w:color="auto" w:fill="D9D9D9"/>
            <w:vAlign w:val="center"/>
          </w:tcPr>
          <w:p w:rsidR="00AF1499" w:rsidRDefault="00AF1499" w:rsidP="00FD0968">
            <w:pPr>
              <w:spacing w:before="20" w:after="20" w:line="240" w:lineRule="auto"/>
              <w:rPr>
                <w:color w:val="000000"/>
                <w:sz w:val="15"/>
                <w:szCs w:val="15"/>
              </w:rPr>
            </w:pPr>
            <w:r>
              <w:rPr>
                <w:color w:val="000000"/>
                <w:sz w:val="15"/>
                <w:szCs w:val="15"/>
              </w:rPr>
              <w:t>- strefa dolnośląska</w:t>
            </w:r>
          </w:p>
        </w:tc>
        <w:tc>
          <w:tcPr>
            <w:tcW w:w="0" w:type="auto"/>
            <w:vMerge/>
            <w:tcBorders>
              <w:left w:val="single" w:sz="18" w:space="0" w:color="FFFFFF" w:themeColor="background1"/>
              <w:right w:val="single" w:sz="18" w:space="0" w:color="FFFFFF" w:themeColor="background1"/>
            </w:tcBorders>
            <w:shd w:val="clear" w:color="auto" w:fill="D9D9D9"/>
            <w:vAlign w:val="center"/>
          </w:tcPr>
          <w:p w:rsidR="00AF1499" w:rsidRDefault="00AF1499" w:rsidP="00FD0968">
            <w:pPr>
              <w:spacing w:before="20" w:after="20" w:line="240" w:lineRule="auto"/>
              <w:jc w:val="center"/>
              <w:rPr>
                <w:color w:val="000000"/>
                <w:sz w:val="15"/>
                <w:szCs w:val="15"/>
              </w:rPr>
            </w:pPr>
          </w:p>
        </w:tc>
        <w:tc>
          <w:tcPr>
            <w:tcW w:w="0" w:type="auto"/>
            <w:tcBorders>
              <w:top w:val="nil"/>
              <w:left w:val="single" w:sz="18" w:space="0" w:color="FFFFFF" w:themeColor="background1"/>
              <w:bottom w:val="single" w:sz="18" w:space="0" w:color="FFFFFF" w:themeColor="background1"/>
              <w:right w:val="single" w:sz="18" w:space="0" w:color="FFFFFF" w:themeColor="background1"/>
            </w:tcBorders>
            <w:shd w:val="clear" w:color="auto" w:fill="D9D9D9"/>
            <w:vAlign w:val="center"/>
          </w:tcPr>
          <w:p w:rsidR="00AF1499" w:rsidRPr="00AE35C1" w:rsidRDefault="00AF1499" w:rsidP="00F149B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tcBorders>
              <w:top w:val="nil"/>
              <w:left w:val="single" w:sz="18" w:space="0" w:color="FFFFFF" w:themeColor="background1"/>
              <w:bottom w:val="single" w:sz="18" w:space="0" w:color="FFFFFF" w:themeColor="background1"/>
              <w:right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Pr>
                <w:color w:val="000000"/>
                <w:sz w:val="15"/>
                <w:szCs w:val="15"/>
              </w:rPr>
              <w:t>C</w:t>
            </w:r>
          </w:p>
        </w:tc>
        <w:tc>
          <w:tcPr>
            <w:tcW w:w="963" w:type="dxa"/>
            <w:tcBorders>
              <w:top w:val="nil"/>
              <w:left w:val="single" w:sz="18" w:space="0" w:color="FFFFFF" w:themeColor="background1"/>
              <w:bottom w:val="single" w:sz="18" w:space="0" w:color="FFFFFF" w:themeColor="background1"/>
              <w:right w:val="single" w:sz="18" w:space="0" w:color="FFFFFF" w:themeColor="background1"/>
            </w:tcBorders>
            <w:shd w:val="clear" w:color="auto" w:fill="D9D9D9" w:themeFill="background1" w:themeFillShade="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A</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tcBorders>
              <w:right w:val="single" w:sz="18" w:space="0" w:color="FFFFFF" w:themeColor="background1"/>
            </w:tcBorders>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28</w:t>
            </w:r>
          </w:p>
        </w:tc>
        <w:tc>
          <w:tcPr>
            <w:tcW w:w="0" w:type="auto"/>
            <w:tcBorders>
              <w:top w:val="single" w:sz="18" w:space="0" w:color="FFFFFF" w:themeColor="background1"/>
              <w:left w:val="single" w:sz="18" w:space="0" w:color="FFFFFF" w:themeColor="background1"/>
            </w:tcBorders>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Udział odpadów komunalnych zebranych selektywnie w ilości odpadów komunalnych ogółem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tcBorders>
              <w:top w:val="single" w:sz="18" w:space="0" w:color="FFFFFF" w:themeColor="background1"/>
              <w:right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tcBorders>
              <w:top w:val="single" w:sz="18" w:space="0" w:color="FFFFFF" w:themeColor="background1"/>
              <w:left w:val="single" w:sz="18" w:space="0" w:color="FFFFFF" w:themeColor="background1"/>
            </w:tcBorders>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21,3</w:t>
            </w:r>
          </w:p>
        </w:tc>
        <w:tc>
          <w:tcPr>
            <w:tcW w:w="963" w:type="dxa"/>
            <w:tcBorders>
              <w:top w:val="single" w:sz="18" w:space="0" w:color="FFFFFF" w:themeColor="background1"/>
            </w:tcBorders>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35,0</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29</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Udział obszarów prawnie chronionych w powierzchni ogółem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18,6</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18,8</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hanging="131"/>
              <w:jc w:val="center"/>
              <w:rPr>
                <w:rFonts w:cs="Calibri"/>
                <w:color w:val="000000"/>
                <w:sz w:val="18"/>
                <w:szCs w:val="18"/>
              </w:rPr>
            </w:pPr>
          </w:p>
        </w:tc>
        <w:tc>
          <w:tcPr>
            <w:tcW w:w="0" w:type="auto"/>
            <w:vMerge/>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30</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Odpady wytworzone w ciągu roku (nagromadzone</w:t>
            </w:r>
            <w:r>
              <w:rPr>
                <w:color w:val="000000"/>
                <w:sz w:val="15"/>
                <w:szCs w:val="15"/>
              </w:rPr>
              <w:br/>
            </w:r>
            <w:r w:rsidRPr="00AE35C1">
              <w:rPr>
                <w:color w:val="000000"/>
                <w:sz w:val="15"/>
                <w:szCs w:val="15"/>
              </w:rPr>
              <w:t xml:space="preserve"> z wyłączeniem odpadów komunalnych) [tys. ton]</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35 579,0</w:t>
            </w:r>
          </w:p>
        </w:tc>
        <w:tc>
          <w:tcPr>
            <w:tcW w:w="963" w:type="dxa"/>
            <w:shd w:val="clear" w:color="auto" w:fill="D9D9D9"/>
            <w:vAlign w:val="center"/>
          </w:tcPr>
          <w:p w:rsidR="00AF1499" w:rsidRPr="00AE35C1" w:rsidRDefault="00AF149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32 600,0</w:t>
            </w:r>
          </w:p>
        </w:tc>
      </w:tr>
      <w:tr w:rsidR="00D113CA" w:rsidRPr="00AE35C1" w:rsidTr="00D113CA">
        <w:tc>
          <w:tcPr>
            <w:tcW w:w="0" w:type="auto"/>
            <w:vMerge w:val="restart"/>
            <w:shd w:val="clear" w:color="auto" w:fill="D9D9D9"/>
          </w:tcPr>
          <w:p w:rsidR="00AF1499" w:rsidRPr="00AE35C1" w:rsidRDefault="00AF1499" w:rsidP="00FD0968">
            <w:pPr>
              <w:spacing w:before="40" w:after="40" w:line="288" w:lineRule="auto"/>
              <w:ind w:right="-108" w:hanging="131"/>
              <w:jc w:val="center"/>
              <w:rPr>
                <w:rFonts w:cs="Calibri"/>
                <w:b/>
                <w:color w:val="000000"/>
                <w:sz w:val="18"/>
                <w:szCs w:val="18"/>
              </w:rPr>
            </w:pPr>
            <w:r w:rsidRPr="00AE35C1">
              <w:rPr>
                <w:rFonts w:cs="Calibri"/>
                <w:b/>
                <w:color w:val="000000"/>
                <w:sz w:val="18"/>
                <w:szCs w:val="18"/>
              </w:rPr>
              <w:t>5.</w:t>
            </w:r>
          </w:p>
        </w:tc>
        <w:tc>
          <w:tcPr>
            <w:tcW w:w="0" w:type="auto"/>
            <w:vMerge w:val="restart"/>
            <w:shd w:val="clear" w:color="auto" w:fill="D9D9D9"/>
            <w:textDirection w:val="btLr"/>
            <w:vAlign w:val="center"/>
          </w:tcPr>
          <w:p w:rsidR="00AF1499" w:rsidRPr="00AE35C1" w:rsidRDefault="00AF1499" w:rsidP="00FD0968">
            <w:pPr>
              <w:spacing w:before="20" w:after="20" w:line="288" w:lineRule="auto"/>
              <w:ind w:left="113" w:right="113"/>
              <w:jc w:val="center"/>
              <w:rPr>
                <w:rFonts w:ascii="Century Gothic" w:hAnsi="Century Gothic"/>
                <w:b/>
                <w:color w:val="000000"/>
                <w:sz w:val="12"/>
                <w:szCs w:val="12"/>
              </w:rPr>
            </w:pPr>
            <w:r w:rsidRPr="00AE35C1">
              <w:rPr>
                <w:rFonts w:ascii="Century Gothic" w:hAnsi="Century Gothic"/>
                <w:b/>
                <w:color w:val="000000"/>
                <w:sz w:val="12"/>
                <w:szCs w:val="12"/>
              </w:rPr>
              <w:t>WZMOCNIENIE PRZESTRZENNEJ SPÓJNOŚCI REGIONU</w:t>
            </w: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31</w:t>
            </w:r>
          </w:p>
        </w:tc>
        <w:tc>
          <w:tcPr>
            <w:tcW w:w="0" w:type="auto"/>
            <w:shd w:val="clear" w:color="auto" w:fill="D9D9D9"/>
          </w:tcPr>
          <w:p w:rsidR="00AF1499" w:rsidRPr="00AE35C1" w:rsidRDefault="00AF1499" w:rsidP="00FD0968">
            <w:pPr>
              <w:spacing w:before="20" w:after="20" w:line="240" w:lineRule="auto"/>
              <w:rPr>
                <w:color w:val="000000"/>
                <w:sz w:val="15"/>
                <w:szCs w:val="15"/>
              </w:rPr>
            </w:pPr>
            <w:r w:rsidRPr="00AE35C1">
              <w:rPr>
                <w:color w:val="000000"/>
                <w:sz w:val="15"/>
                <w:szCs w:val="15"/>
              </w:rPr>
              <w:t>Długość dróg ekspresowych i autostrad na 10 tys. ludności [km]</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 xml:space="preserve">0,99 </w:t>
            </w:r>
          </w:p>
        </w:tc>
        <w:tc>
          <w:tcPr>
            <w:tcW w:w="963" w:type="dxa"/>
            <w:shd w:val="clear" w:color="auto" w:fill="D9D9D9"/>
            <w:vAlign w:val="center"/>
          </w:tcPr>
          <w:p w:rsidR="00AF1499" w:rsidRPr="00AE35C1" w:rsidRDefault="009B325E"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1,67</w:t>
            </w: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rPr>
                <w:color w:val="000000"/>
                <w:sz w:val="16"/>
                <w:szCs w:val="16"/>
              </w:rPr>
            </w:pPr>
          </w:p>
        </w:tc>
        <w:tc>
          <w:tcPr>
            <w:tcW w:w="0" w:type="auto"/>
            <w:vMerge/>
            <w:shd w:val="clear" w:color="auto" w:fill="D9D9D9"/>
          </w:tcPr>
          <w:p w:rsidR="00AF1499" w:rsidRPr="00AE35C1" w:rsidRDefault="00AF1499" w:rsidP="00FD0968">
            <w:pPr>
              <w:spacing w:before="40" w:after="40" w:line="288" w:lineRule="auto"/>
              <w:rPr>
                <w:color w:val="000000"/>
                <w:sz w:val="16"/>
                <w:szCs w:val="16"/>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32</w:t>
            </w:r>
          </w:p>
        </w:tc>
        <w:tc>
          <w:tcPr>
            <w:tcW w:w="0" w:type="auto"/>
            <w:shd w:val="clear" w:color="auto" w:fill="D9D9D9"/>
          </w:tcPr>
          <w:p w:rsidR="00AF1499" w:rsidRPr="00AE35C1" w:rsidRDefault="00AF1499" w:rsidP="00FD0968">
            <w:pPr>
              <w:spacing w:before="20" w:after="20" w:line="240" w:lineRule="auto"/>
              <w:rPr>
                <w:color w:val="000000"/>
                <w:sz w:val="15"/>
                <w:szCs w:val="15"/>
              </w:rPr>
            </w:pPr>
            <w:r w:rsidRPr="00AE35C1">
              <w:rPr>
                <w:color w:val="000000"/>
                <w:sz w:val="15"/>
                <w:szCs w:val="15"/>
              </w:rPr>
              <w:t>Udział mieszkańców w strefie dostępności do 30 minut od węzłów autostrad i dróg ekspresowych w ogólnej liczbie ludności [%]</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IRT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7829">
            <w:pPr>
              <w:spacing w:before="20" w:after="20" w:line="240" w:lineRule="auto"/>
              <w:jc w:val="center"/>
              <w:rPr>
                <w:strike/>
                <w:color w:val="000000"/>
                <w:sz w:val="15"/>
                <w:szCs w:val="15"/>
              </w:rPr>
            </w:pPr>
            <w:r w:rsidRPr="00AE35C1">
              <w:rPr>
                <w:color w:val="000000"/>
                <w:sz w:val="15"/>
                <w:szCs w:val="15"/>
              </w:rPr>
              <w:t>6</w:t>
            </w:r>
            <w:r>
              <w:rPr>
                <w:color w:val="000000"/>
                <w:sz w:val="15"/>
                <w:szCs w:val="15"/>
              </w:rPr>
              <w:t>3</w:t>
            </w:r>
          </w:p>
        </w:tc>
        <w:tc>
          <w:tcPr>
            <w:tcW w:w="963" w:type="dxa"/>
            <w:shd w:val="clear" w:color="auto" w:fill="D9D9D9"/>
            <w:vAlign w:val="center"/>
          </w:tcPr>
          <w:p w:rsidR="00AF1499" w:rsidRPr="00AE35C1" w:rsidRDefault="007E3EA9" w:rsidP="007E3EA9">
            <w:pPr>
              <w:spacing w:before="20" w:after="20" w:line="240" w:lineRule="auto"/>
              <w:jc w:val="center"/>
              <w:rPr>
                <w:rFonts w:ascii="Arial" w:hAnsi="Arial" w:cs="Arial"/>
                <w:color w:val="000000"/>
                <w:sz w:val="15"/>
                <w:szCs w:val="15"/>
              </w:rPr>
            </w:pPr>
            <w:r>
              <w:rPr>
                <w:rFonts w:ascii="Arial" w:hAnsi="Arial" w:cs="Arial"/>
                <w:color w:val="000000"/>
                <w:sz w:val="15"/>
                <w:szCs w:val="15"/>
              </w:rPr>
              <w:t>79</w:t>
            </w:r>
          </w:p>
        </w:tc>
      </w:tr>
      <w:tr w:rsidR="00AF1499" w:rsidRPr="00AE35C1" w:rsidTr="00AF1499">
        <w:tc>
          <w:tcPr>
            <w:tcW w:w="0" w:type="auto"/>
            <w:vMerge/>
            <w:shd w:val="clear" w:color="auto" w:fill="D9D9D9"/>
          </w:tcPr>
          <w:p w:rsidR="00AF1499" w:rsidRPr="00AE35C1" w:rsidRDefault="00AF1499" w:rsidP="00FD0968">
            <w:pPr>
              <w:spacing w:before="40" w:after="40" w:line="288" w:lineRule="auto"/>
              <w:ind w:right="-108"/>
              <w:rPr>
                <w:color w:val="000000"/>
                <w:sz w:val="16"/>
                <w:szCs w:val="16"/>
              </w:rPr>
            </w:pPr>
          </w:p>
        </w:tc>
        <w:tc>
          <w:tcPr>
            <w:tcW w:w="0" w:type="auto"/>
            <w:vMerge/>
            <w:shd w:val="clear" w:color="auto" w:fill="D9D9D9"/>
          </w:tcPr>
          <w:p w:rsidR="00AF1499" w:rsidRPr="00AE35C1" w:rsidRDefault="00AF1499" w:rsidP="00FD0968">
            <w:pPr>
              <w:spacing w:before="40" w:after="40" w:line="288" w:lineRule="auto"/>
              <w:rPr>
                <w:color w:val="000000"/>
                <w:sz w:val="16"/>
                <w:szCs w:val="16"/>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33</w:t>
            </w:r>
          </w:p>
        </w:tc>
        <w:tc>
          <w:tcPr>
            <w:tcW w:w="0" w:type="auto"/>
            <w:shd w:val="clear" w:color="auto" w:fill="D9D9D9"/>
          </w:tcPr>
          <w:p w:rsidR="00AF1499" w:rsidRPr="00AE35C1" w:rsidRDefault="00AF1499" w:rsidP="00FD0968">
            <w:pPr>
              <w:spacing w:before="20" w:after="20" w:line="240" w:lineRule="auto"/>
              <w:rPr>
                <w:color w:val="000000"/>
                <w:sz w:val="15"/>
                <w:szCs w:val="15"/>
              </w:rPr>
            </w:pPr>
            <w:r w:rsidRPr="00AE35C1">
              <w:rPr>
                <w:color w:val="000000"/>
                <w:sz w:val="15"/>
                <w:szCs w:val="15"/>
              </w:rPr>
              <w:t>Liczba pasażerów odprawianych w transporcie kolejowym (Koleje Dolnośląskie, Przewozy Regionalne) [mln os.]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UMWD</w:t>
            </w:r>
            <w:r w:rsidRPr="00AE35C1">
              <w:rPr>
                <w:rStyle w:val="Odwoanieprzypisudolnego"/>
                <w:color w:val="000000"/>
                <w:sz w:val="15"/>
                <w:szCs w:val="15"/>
              </w:rPr>
              <w:footnoteReference w:id="12"/>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 xml:space="preserve">19,8 </w:t>
            </w:r>
          </w:p>
        </w:tc>
        <w:tc>
          <w:tcPr>
            <w:tcW w:w="963" w:type="dxa"/>
            <w:shd w:val="clear" w:color="auto" w:fill="D9D9D9"/>
          </w:tcPr>
          <w:p w:rsidR="00AF1499" w:rsidRPr="00AE35C1" w:rsidRDefault="00AF1499" w:rsidP="00FD0968">
            <w:pPr>
              <w:spacing w:before="20" w:after="20" w:line="240" w:lineRule="auto"/>
              <w:jc w:val="center"/>
              <w:rPr>
                <w:rFonts w:ascii="Arial" w:hAnsi="Arial" w:cs="Arial"/>
                <w:color w:val="000000"/>
                <w:sz w:val="15"/>
                <w:szCs w:val="15"/>
              </w:rPr>
            </w:pPr>
          </w:p>
        </w:tc>
      </w:tr>
      <w:tr w:rsidR="00D113CA" w:rsidRPr="00AE35C1" w:rsidTr="00D113CA">
        <w:tc>
          <w:tcPr>
            <w:tcW w:w="0" w:type="auto"/>
            <w:vMerge/>
            <w:shd w:val="clear" w:color="auto" w:fill="D9D9D9"/>
          </w:tcPr>
          <w:p w:rsidR="00AF1499" w:rsidRPr="00AE35C1" w:rsidRDefault="00AF1499" w:rsidP="00FD0968">
            <w:pPr>
              <w:spacing w:before="40" w:after="40" w:line="288" w:lineRule="auto"/>
              <w:ind w:right="-108"/>
              <w:rPr>
                <w:color w:val="000000"/>
                <w:sz w:val="16"/>
                <w:szCs w:val="16"/>
              </w:rPr>
            </w:pPr>
          </w:p>
        </w:tc>
        <w:tc>
          <w:tcPr>
            <w:tcW w:w="0" w:type="auto"/>
            <w:vMerge/>
            <w:shd w:val="clear" w:color="auto" w:fill="D9D9D9"/>
          </w:tcPr>
          <w:p w:rsidR="00AF1499" w:rsidRPr="00AE35C1" w:rsidRDefault="00AF1499" w:rsidP="00FD0968">
            <w:pPr>
              <w:spacing w:before="40" w:after="40" w:line="288" w:lineRule="auto"/>
              <w:rPr>
                <w:color w:val="000000"/>
                <w:sz w:val="16"/>
                <w:szCs w:val="16"/>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34</w:t>
            </w:r>
          </w:p>
        </w:tc>
        <w:tc>
          <w:tcPr>
            <w:tcW w:w="0" w:type="auto"/>
            <w:shd w:val="clear" w:color="auto" w:fill="D9D9D9"/>
          </w:tcPr>
          <w:p w:rsidR="00AF1499" w:rsidRPr="00AE35C1" w:rsidRDefault="00AF1499" w:rsidP="00FD0968">
            <w:pPr>
              <w:spacing w:before="20" w:after="20" w:line="240" w:lineRule="auto"/>
              <w:rPr>
                <w:color w:val="000000"/>
                <w:sz w:val="15"/>
                <w:szCs w:val="15"/>
              </w:rPr>
            </w:pPr>
            <w:r w:rsidRPr="00AE35C1">
              <w:rPr>
                <w:color w:val="000000"/>
                <w:sz w:val="15"/>
                <w:szCs w:val="15"/>
              </w:rPr>
              <w:t>Ruch pasażerów w portach lotniczych - przyjazdy i wyjazdy [tys. os.]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GUS</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2 371,6</w:t>
            </w:r>
          </w:p>
        </w:tc>
        <w:tc>
          <w:tcPr>
            <w:tcW w:w="963" w:type="dxa"/>
            <w:shd w:val="clear" w:color="auto" w:fill="D9D9D9"/>
            <w:vAlign w:val="center"/>
          </w:tcPr>
          <w:p w:rsidR="00AF1499" w:rsidRPr="00B51DC8" w:rsidRDefault="00DF7C1C" w:rsidP="00B51DC8">
            <w:pPr>
              <w:spacing w:before="20" w:after="20" w:line="240" w:lineRule="auto"/>
              <w:jc w:val="center"/>
              <w:rPr>
                <w:rFonts w:ascii="Arial" w:hAnsi="Arial" w:cs="Arial"/>
                <w:color w:val="000000"/>
                <w:sz w:val="15"/>
                <w:szCs w:val="15"/>
              </w:rPr>
            </w:pPr>
            <w:r w:rsidRPr="00D113CA">
              <w:rPr>
                <w:rFonts w:ascii="Arial" w:hAnsi="Arial" w:cs="Arial"/>
                <w:color w:val="000000"/>
                <w:sz w:val="15"/>
                <w:szCs w:val="15"/>
              </w:rPr>
              <w:t>4 000</w:t>
            </w:r>
          </w:p>
        </w:tc>
      </w:tr>
      <w:tr w:rsidR="00AF1499" w:rsidRPr="00AE35C1" w:rsidTr="00AF1499">
        <w:tc>
          <w:tcPr>
            <w:tcW w:w="0" w:type="auto"/>
            <w:vMerge/>
            <w:shd w:val="clear" w:color="auto" w:fill="D9D9D9"/>
          </w:tcPr>
          <w:p w:rsidR="00AF1499" w:rsidRPr="00AE35C1" w:rsidRDefault="00AF1499" w:rsidP="00FD0968">
            <w:pPr>
              <w:spacing w:before="40" w:after="40" w:line="288" w:lineRule="auto"/>
              <w:ind w:right="-108"/>
              <w:rPr>
                <w:color w:val="000000"/>
                <w:sz w:val="16"/>
                <w:szCs w:val="16"/>
              </w:rPr>
            </w:pPr>
          </w:p>
        </w:tc>
        <w:tc>
          <w:tcPr>
            <w:tcW w:w="0" w:type="auto"/>
            <w:vMerge/>
            <w:shd w:val="clear" w:color="auto" w:fill="D9D9D9"/>
          </w:tcPr>
          <w:p w:rsidR="00AF1499" w:rsidRPr="00AE35C1" w:rsidRDefault="00AF1499" w:rsidP="00FD0968">
            <w:pPr>
              <w:spacing w:before="40" w:after="40" w:line="288" w:lineRule="auto"/>
              <w:rPr>
                <w:color w:val="000000"/>
                <w:sz w:val="16"/>
                <w:szCs w:val="16"/>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35</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 xml:space="preserve">Liczba modułów tematycznych na </w:t>
            </w:r>
            <w:proofErr w:type="spellStart"/>
            <w:r w:rsidRPr="00AE35C1">
              <w:rPr>
                <w:color w:val="000000"/>
                <w:sz w:val="15"/>
                <w:szCs w:val="15"/>
              </w:rPr>
              <w:t>Geoportalu</w:t>
            </w:r>
            <w:proofErr w:type="spellEnd"/>
            <w:r w:rsidRPr="00AE35C1">
              <w:rPr>
                <w:color w:val="000000"/>
                <w:sz w:val="15"/>
                <w:szCs w:val="15"/>
              </w:rPr>
              <w:t xml:space="preserve"> Dolny Śląsk</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4"/>
                <w:szCs w:val="14"/>
              </w:rPr>
            </w:pPr>
            <w:r w:rsidRPr="00AE35C1">
              <w:rPr>
                <w:color w:val="000000"/>
                <w:sz w:val="14"/>
                <w:szCs w:val="14"/>
              </w:rPr>
              <w:t>UMWD</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28</w:t>
            </w:r>
          </w:p>
        </w:tc>
        <w:tc>
          <w:tcPr>
            <w:tcW w:w="963" w:type="dxa"/>
            <w:shd w:val="clear" w:color="auto" w:fill="D9D9D9"/>
          </w:tcPr>
          <w:p w:rsidR="00AF1499" w:rsidRPr="00AE35C1" w:rsidRDefault="00AF1499" w:rsidP="00FD0968">
            <w:pPr>
              <w:spacing w:before="20" w:after="20" w:line="240" w:lineRule="auto"/>
              <w:jc w:val="center"/>
              <w:rPr>
                <w:rFonts w:ascii="Arial" w:hAnsi="Arial" w:cs="Arial"/>
                <w:color w:val="000000"/>
                <w:sz w:val="15"/>
                <w:szCs w:val="15"/>
              </w:rPr>
            </w:pPr>
          </w:p>
        </w:tc>
      </w:tr>
      <w:tr w:rsidR="00AF1499" w:rsidRPr="00AE35C1" w:rsidTr="00AF1499">
        <w:tc>
          <w:tcPr>
            <w:tcW w:w="0" w:type="auto"/>
            <w:vMerge/>
            <w:shd w:val="clear" w:color="auto" w:fill="D9D9D9"/>
          </w:tcPr>
          <w:p w:rsidR="00AF1499" w:rsidRPr="00AE35C1" w:rsidRDefault="00AF1499" w:rsidP="00FD0968">
            <w:pPr>
              <w:spacing w:before="40" w:after="40" w:line="288" w:lineRule="auto"/>
              <w:ind w:right="-108"/>
              <w:rPr>
                <w:color w:val="000000"/>
                <w:sz w:val="16"/>
                <w:szCs w:val="16"/>
              </w:rPr>
            </w:pPr>
          </w:p>
        </w:tc>
        <w:tc>
          <w:tcPr>
            <w:tcW w:w="0" w:type="auto"/>
            <w:vMerge/>
            <w:shd w:val="clear" w:color="auto" w:fill="D9D9D9"/>
          </w:tcPr>
          <w:p w:rsidR="00AF1499" w:rsidRPr="00AE35C1" w:rsidRDefault="00AF1499" w:rsidP="00FD0968">
            <w:pPr>
              <w:spacing w:before="40" w:after="40" w:line="288" w:lineRule="auto"/>
              <w:rPr>
                <w:color w:val="000000"/>
                <w:sz w:val="16"/>
                <w:szCs w:val="16"/>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36</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rPr>
            </w:pPr>
            <w:r w:rsidRPr="00AE35C1">
              <w:rPr>
                <w:color w:val="000000"/>
                <w:sz w:val="15"/>
                <w:szCs w:val="15"/>
              </w:rPr>
              <w:t xml:space="preserve">Łączna liczba użytkowników </w:t>
            </w:r>
            <w:proofErr w:type="spellStart"/>
            <w:r w:rsidRPr="00AE35C1">
              <w:rPr>
                <w:color w:val="000000"/>
                <w:sz w:val="15"/>
                <w:szCs w:val="15"/>
              </w:rPr>
              <w:t>Geoportalu</w:t>
            </w:r>
            <w:proofErr w:type="spellEnd"/>
            <w:r w:rsidRPr="00AE35C1">
              <w:rPr>
                <w:color w:val="000000"/>
                <w:sz w:val="15"/>
                <w:szCs w:val="15"/>
              </w:rPr>
              <w:t xml:space="preserve"> Dolny Śląsk</w:t>
            </w:r>
          </w:p>
        </w:tc>
        <w:tc>
          <w:tcPr>
            <w:tcW w:w="0" w:type="auto"/>
            <w:shd w:val="clear" w:color="auto" w:fill="D9D9D9"/>
            <w:vAlign w:val="center"/>
          </w:tcPr>
          <w:p w:rsidR="00AF1499" w:rsidRPr="00AE35C1" w:rsidRDefault="00AF1499" w:rsidP="00FD0968">
            <w:pPr>
              <w:spacing w:before="20" w:after="20" w:line="240" w:lineRule="auto"/>
              <w:jc w:val="center"/>
              <w:rPr>
                <w:sz w:val="14"/>
                <w:szCs w:val="14"/>
              </w:rPr>
            </w:pPr>
            <w:r w:rsidRPr="00AE35C1">
              <w:rPr>
                <w:color w:val="000000"/>
                <w:sz w:val="14"/>
                <w:szCs w:val="14"/>
              </w:rPr>
              <w:t>UMWD</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5"/>
                <w:szCs w:val="15"/>
              </w:rPr>
            </w:pPr>
            <w:r w:rsidRPr="00AE35C1">
              <w:rPr>
                <w:color w:val="000000"/>
                <w:sz w:val="15"/>
                <w:szCs w:val="15"/>
              </w:rPr>
              <w:t>349 267</w:t>
            </w:r>
          </w:p>
        </w:tc>
        <w:tc>
          <w:tcPr>
            <w:tcW w:w="963" w:type="dxa"/>
            <w:shd w:val="clear" w:color="auto" w:fill="D9D9D9"/>
          </w:tcPr>
          <w:p w:rsidR="00AF1499" w:rsidRPr="00AE35C1" w:rsidRDefault="00AF1499" w:rsidP="00FD0968">
            <w:pPr>
              <w:spacing w:before="20" w:after="20" w:line="240" w:lineRule="auto"/>
              <w:jc w:val="center"/>
              <w:rPr>
                <w:rFonts w:ascii="Arial" w:hAnsi="Arial" w:cs="Arial"/>
                <w:color w:val="000000"/>
                <w:sz w:val="15"/>
                <w:szCs w:val="15"/>
              </w:rPr>
            </w:pPr>
          </w:p>
        </w:tc>
      </w:tr>
      <w:tr w:rsidR="00AF1499" w:rsidRPr="00FD0968" w:rsidTr="00AF1499">
        <w:tc>
          <w:tcPr>
            <w:tcW w:w="0" w:type="auto"/>
            <w:vMerge/>
            <w:shd w:val="clear" w:color="auto" w:fill="D9D9D9"/>
          </w:tcPr>
          <w:p w:rsidR="00AF1499" w:rsidRPr="00AE35C1" w:rsidRDefault="00AF1499" w:rsidP="00FD0968">
            <w:pPr>
              <w:spacing w:before="40" w:after="40" w:line="288" w:lineRule="auto"/>
              <w:ind w:right="-108"/>
              <w:rPr>
                <w:color w:val="000000"/>
                <w:sz w:val="16"/>
                <w:szCs w:val="16"/>
              </w:rPr>
            </w:pPr>
          </w:p>
        </w:tc>
        <w:tc>
          <w:tcPr>
            <w:tcW w:w="0" w:type="auto"/>
            <w:vMerge/>
            <w:shd w:val="clear" w:color="auto" w:fill="D9D9D9"/>
          </w:tcPr>
          <w:p w:rsidR="00AF1499" w:rsidRPr="00AE35C1" w:rsidRDefault="00AF1499" w:rsidP="00FD0968">
            <w:pPr>
              <w:spacing w:before="40" w:after="40" w:line="288" w:lineRule="auto"/>
              <w:rPr>
                <w:color w:val="000000"/>
                <w:sz w:val="16"/>
                <w:szCs w:val="16"/>
              </w:rPr>
            </w:pPr>
          </w:p>
        </w:tc>
        <w:tc>
          <w:tcPr>
            <w:tcW w:w="0" w:type="auto"/>
            <w:shd w:val="clear" w:color="auto" w:fill="D9D9D9"/>
          </w:tcPr>
          <w:p w:rsidR="00AF1499" w:rsidRPr="00AE35C1" w:rsidRDefault="00AF1499" w:rsidP="00FD0968">
            <w:pPr>
              <w:spacing w:before="20" w:after="20" w:line="240" w:lineRule="auto"/>
              <w:rPr>
                <w:color w:val="000000"/>
                <w:sz w:val="15"/>
                <w:szCs w:val="15"/>
              </w:rPr>
            </w:pPr>
            <w:r>
              <w:rPr>
                <w:color w:val="000000"/>
                <w:sz w:val="15"/>
                <w:szCs w:val="15"/>
              </w:rPr>
              <w:t>37</w:t>
            </w:r>
          </w:p>
        </w:tc>
        <w:tc>
          <w:tcPr>
            <w:tcW w:w="0" w:type="auto"/>
            <w:shd w:val="clear" w:color="auto" w:fill="D9D9D9"/>
            <w:vAlign w:val="center"/>
          </w:tcPr>
          <w:p w:rsidR="00AF1499" w:rsidRPr="00AE35C1" w:rsidRDefault="00AF1499" w:rsidP="00FD0968">
            <w:pPr>
              <w:spacing w:before="20" w:after="20" w:line="240" w:lineRule="auto"/>
              <w:rPr>
                <w:color w:val="000000"/>
                <w:sz w:val="15"/>
                <w:szCs w:val="15"/>
                <w:vertAlign w:val="superscript"/>
              </w:rPr>
            </w:pPr>
            <w:r w:rsidRPr="00AE35C1">
              <w:rPr>
                <w:color w:val="000000"/>
                <w:sz w:val="15"/>
                <w:szCs w:val="15"/>
              </w:rPr>
              <w:t>Liczba użytkowników końcowych podłączonych do sieci DSS za pośrednictwem Operatorów Sieci Dostępowych świadczących usługi dla klientów końcowych z wykorzystaniem sieci DSS</w:t>
            </w:r>
            <w:r w:rsidRPr="00AE35C1">
              <w:rPr>
                <w:color w:val="000000"/>
                <w:sz w:val="15"/>
                <w:szCs w:val="15"/>
                <w:vertAlign w:val="superscript"/>
              </w:rPr>
              <w:t>7</w:t>
            </w:r>
          </w:p>
        </w:tc>
        <w:tc>
          <w:tcPr>
            <w:tcW w:w="0" w:type="auto"/>
            <w:shd w:val="clear" w:color="auto" w:fill="D9D9D9"/>
            <w:vAlign w:val="center"/>
          </w:tcPr>
          <w:p w:rsidR="00AF1499" w:rsidRPr="00AE35C1" w:rsidRDefault="00AF1499" w:rsidP="00FD0968">
            <w:pPr>
              <w:spacing w:before="20" w:after="20" w:line="240" w:lineRule="auto"/>
              <w:jc w:val="center"/>
              <w:rPr>
                <w:color w:val="000000"/>
                <w:sz w:val="14"/>
                <w:szCs w:val="14"/>
              </w:rPr>
            </w:pPr>
            <w:r w:rsidRPr="00AE35C1">
              <w:rPr>
                <w:color w:val="000000"/>
                <w:sz w:val="14"/>
                <w:szCs w:val="14"/>
              </w:rPr>
              <w:t>DSSOPERATOR</w:t>
            </w:r>
          </w:p>
        </w:tc>
        <w:tc>
          <w:tcPr>
            <w:tcW w:w="0" w:type="auto"/>
            <w:shd w:val="clear" w:color="auto" w:fill="D9D9D9"/>
            <w:vAlign w:val="center"/>
          </w:tcPr>
          <w:p w:rsidR="00AF1499" w:rsidRPr="00AE35C1" w:rsidRDefault="00AF1499" w:rsidP="00FD0968">
            <w:pPr>
              <w:spacing w:before="20" w:after="20" w:line="240" w:lineRule="auto"/>
              <w:jc w:val="center"/>
              <w:rPr>
                <w:rFonts w:ascii="Arial" w:hAnsi="Arial" w:cs="Arial"/>
                <w:color w:val="000000"/>
                <w:sz w:val="15"/>
                <w:szCs w:val="15"/>
              </w:rPr>
            </w:pPr>
            <w:r w:rsidRPr="00AE35C1">
              <w:rPr>
                <w:rFonts w:ascii="Arial" w:hAnsi="Arial" w:cs="Arial"/>
                <w:color w:val="000000"/>
                <w:sz w:val="15"/>
                <w:szCs w:val="15"/>
              </w:rPr>
              <w:t>▲</w:t>
            </w:r>
          </w:p>
        </w:tc>
        <w:tc>
          <w:tcPr>
            <w:tcW w:w="0" w:type="auto"/>
            <w:shd w:val="clear" w:color="auto" w:fill="D9D9D9"/>
            <w:vAlign w:val="center"/>
          </w:tcPr>
          <w:p w:rsidR="00AF1499" w:rsidRPr="00AE35C1" w:rsidRDefault="00AF1499" w:rsidP="00FD0968">
            <w:pPr>
              <w:spacing w:before="20" w:after="20" w:line="240" w:lineRule="auto"/>
              <w:ind w:hanging="108"/>
              <w:jc w:val="center"/>
              <w:rPr>
                <w:i/>
                <w:iCs/>
                <w:vertAlign w:val="superscript"/>
              </w:rPr>
            </w:pPr>
            <w:r w:rsidRPr="00AE35C1">
              <w:rPr>
                <w:color w:val="000000"/>
                <w:sz w:val="15"/>
                <w:szCs w:val="15"/>
              </w:rPr>
              <w:t xml:space="preserve"> 1 311</w:t>
            </w:r>
            <w:r w:rsidRPr="00AE35C1">
              <w:rPr>
                <w:i/>
                <w:iCs/>
                <w:sz w:val="16"/>
                <w:szCs w:val="16"/>
                <w:vertAlign w:val="superscript"/>
              </w:rPr>
              <w:t>05.07.2016</w:t>
            </w:r>
          </w:p>
        </w:tc>
        <w:tc>
          <w:tcPr>
            <w:tcW w:w="963" w:type="dxa"/>
            <w:shd w:val="clear" w:color="auto" w:fill="D9D9D9"/>
          </w:tcPr>
          <w:p w:rsidR="00AF1499" w:rsidRPr="00AE35C1" w:rsidRDefault="00AF1499" w:rsidP="00FD0968">
            <w:pPr>
              <w:spacing w:before="20" w:after="20" w:line="240" w:lineRule="auto"/>
              <w:jc w:val="center"/>
              <w:rPr>
                <w:rFonts w:ascii="Arial" w:hAnsi="Arial" w:cs="Arial"/>
                <w:color w:val="000000"/>
                <w:sz w:val="15"/>
                <w:szCs w:val="15"/>
              </w:rPr>
            </w:pPr>
          </w:p>
        </w:tc>
      </w:tr>
    </w:tbl>
    <w:p w:rsidR="00831ECF" w:rsidRDefault="00831ECF" w:rsidP="005F49A2">
      <w:pPr>
        <w:spacing w:line="288" w:lineRule="auto"/>
      </w:pPr>
    </w:p>
    <w:p w:rsidR="009C6C29" w:rsidRDefault="009C6C29" w:rsidP="009C6C29">
      <w:pPr>
        <w:pStyle w:val="Bezodstpw"/>
        <w:rPr>
          <w:rStyle w:val="Nagwek1Znak"/>
          <w:rFonts w:eastAsiaTheme="minorHAnsi"/>
        </w:rPr>
      </w:pPr>
      <w:bookmarkStart w:id="76" w:name="_Toc511716338"/>
      <w:r w:rsidRPr="008638D4">
        <w:rPr>
          <w:rStyle w:val="Nagwek1Znak"/>
          <w:rFonts w:eastAsiaTheme="minorHAnsi"/>
        </w:rPr>
        <w:t xml:space="preserve">8. </w:t>
      </w:r>
      <w:r w:rsidRPr="008638D4">
        <w:rPr>
          <w:rStyle w:val="Nagwek1Znak"/>
        </w:rPr>
        <w:t>Wykaz</w:t>
      </w:r>
      <w:r w:rsidRPr="008638D4">
        <w:rPr>
          <w:rStyle w:val="Nagwek1Znak"/>
          <w:rFonts w:eastAsiaTheme="minorHAnsi"/>
        </w:rPr>
        <w:t xml:space="preserve"> użytych skrótów</w:t>
      </w:r>
      <w:r>
        <w:rPr>
          <w:rStyle w:val="Nagwek1Znak"/>
          <w:rFonts w:eastAsiaTheme="minorHAnsi"/>
        </w:rPr>
        <w:t>:</w:t>
      </w:r>
      <w:bookmarkEnd w:id="76"/>
    </w:p>
    <w:p w:rsidR="009C6C29" w:rsidRPr="008638D4" w:rsidRDefault="009C6C29" w:rsidP="009C6C29">
      <w:pPr>
        <w:pStyle w:val="Bezodstpw"/>
        <w:rPr>
          <w:rStyle w:val="Nagwek1Znak"/>
          <w:rFonts w:eastAsiaTheme="minorHAnsi"/>
        </w:rPr>
      </w:pP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BAEL</w:t>
      </w:r>
      <w:r w:rsidRPr="00F14380">
        <w:rPr>
          <w:rFonts w:asciiTheme="minorHAnsi" w:hAnsiTheme="minorHAnsi" w:cstheme="minorHAnsi"/>
          <w:sz w:val="21"/>
          <w:szCs w:val="21"/>
        </w:rPr>
        <w:t xml:space="preserve"> Badanie Aktywności Ekonomicznej Ludności</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EDZ</w:t>
      </w:r>
      <w:r w:rsidRPr="00F14380">
        <w:rPr>
          <w:rFonts w:asciiTheme="minorHAnsi" w:hAnsiTheme="minorHAnsi" w:cstheme="minorHAnsi"/>
          <w:sz w:val="21"/>
          <w:szCs w:val="21"/>
        </w:rPr>
        <w:t xml:space="preserve"> System elektronicznego zarządzania dokumentami</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EFSI</w:t>
      </w:r>
      <w:r w:rsidRPr="00F14380">
        <w:rPr>
          <w:rFonts w:asciiTheme="minorHAnsi" w:hAnsiTheme="minorHAnsi" w:cstheme="minorHAnsi"/>
          <w:sz w:val="21"/>
          <w:szCs w:val="21"/>
        </w:rPr>
        <w:t xml:space="preserve"> Europejskie Fundusze Strukturalne i Inwestycyjne</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GUS</w:t>
      </w:r>
      <w:r w:rsidRPr="00F14380">
        <w:rPr>
          <w:rFonts w:asciiTheme="minorHAnsi" w:hAnsiTheme="minorHAnsi" w:cstheme="minorHAnsi"/>
          <w:sz w:val="21"/>
          <w:szCs w:val="21"/>
        </w:rPr>
        <w:t xml:space="preserve"> Główny Urząd Statystyczny</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IOB</w:t>
      </w:r>
      <w:r w:rsidRPr="00F14380">
        <w:rPr>
          <w:rFonts w:asciiTheme="minorHAnsi" w:hAnsiTheme="minorHAnsi" w:cstheme="minorHAnsi"/>
          <w:sz w:val="21"/>
          <w:szCs w:val="21"/>
        </w:rPr>
        <w:t xml:space="preserve"> Instytucje otoczenia biznesu</w:t>
      </w:r>
    </w:p>
    <w:p w:rsidR="00FD7829" w:rsidRPr="00F14380" w:rsidRDefault="00FD7829" w:rsidP="00F14380">
      <w:pPr>
        <w:spacing w:after="120"/>
        <w:rPr>
          <w:rFonts w:asciiTheme="minorHAnsi" w:hAnsiTheme="minorHAnsi" w:cstheme="minorHAnsi"/>
          <w:color w:val="000000"/>
          <w:sz w:val="21"/>
          <w:szCs w:val="21"/>
        </w:rPr>
      </w:pPr>
      <w:r w:rsidRPr="00F14380">
        <w:rPr>
          <w:rFonts w:asciiTheme="minorHAnsi" w:eastAsia="Times New Roman" w:hAnsiTheme="minorHAnsi" w:cstheme="minorHAnsi"/>
          <w:b/>
          <w:bCs/>
          <w:color w:val="365F91"/>
          <w:sz w:val="21"/>
          <w:szCs w:val="21"/>
        </w:rPr>
        <w:t>IRT</w:t>
      </w:r>
      <w:r w:rsidRPr="00F14380">
        <w:rPr>
          <w:rFonts w:asciiTheme="minorHAnsi" w:hAnsiTheme="minorHAnsi" w:cstheme="minorHAnsi"/>
          <w:color w:val="000000"/>
          <w:sz w:val="21"/>
          <w:szCs w:val="21"/>
        </w:rPr>
        <w:t xml:space="preserve"> Instytut Rozwoju Regionalnego </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JCWP</w:t>
      </w:r>
      <w:r w:rsidRPr="00F14380">
        <w:rPr>
          <w:rFonts w:asciiTheme="minorHAnsi" w:hAnsiTheme="minorHAnsi" w:cstheme="minorHAnsi"/>
          <w:sz w:val="21"/>
          <w:szCs w:val="21"/>
        </w:rPr>
        <w:t xml:space="preserve"> Jednolite części wód powierzchniowych</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LGOM</w:t>
      </w:r>
      <w:r w:rsidRPr="00F14380">
        <w:rPr>
          <w:rFonts w:asciiTheme="minorHAnsi" w:hAnsiTheme="minorHAnsi" w:cstheme="minorHAnsi"/>
          <w:sz w:val="21"/>
          <w:szCs w:val="21"/>
        </w:rPr>
        <w:t xml:space="preserve"> Legnicko-Głogowski Okręg Miedziowy </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MŚP</w:t>
      </w:r>
      <w:r w:rsidRPr="00F14380">
        <w:rPr>
          <w:rFonts w:asciiTheme="minorHAnsi" w:hAnsiTheme="minorHAnsi" w:cstheme="minorHAnsi"/>
          <w:sz w:val="21"/>
          <w:szCs w:val="21"/>
        </w:rPr>
        <w:t xml:space="preserve"> Małe i Średnie Przedsiębiorstwa </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OSI</w:t>
      </w:r>
      <w:r w:rsidRPr="00F14380">
        <w:rPr>
          <w:rFonts w:asciiTheme="minorHAnsi" w:hAnsiTheme="minorHAnsi" w:cstheme="minorHAnsi"/>
          <w:sz w:val="21"/>
          <w:szCs w:val="21"/>
        </w:rPr>
        <w:t xml:space="preserve"> Obszary Strategicznej Interwencji</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OZE</w:t>
      </w:r>
      <w:r w:rsidRPr="00F14380">
        <w:rPr>
          <w:rFonts w:asciiTheme="minorHAnsi" w:hAnsiTheme="minorHAnsi" w:cstheme="minorHAnsi"/>
          <w:sz w:val="21"/>
          <w:szCs w:val="21"/>
        </w:rPr>
        <w:t xml:space="preserve"> Odnawialne Źródła Energii</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PKB</w:t>
      </w:r>
      <w:r w:rsidRPr="00F14380">
        <w:rPr>
          <w:rFonts w:asciiTheme="minorHAnsi" w:hAnsiTheme="minorHAnsi" w:cstheme="minorHAnsi"/>
          <w:sz w:val="21"/>
          <w:szCs w:val="21"/>
        </w:rPr>
        <w:t xml:space="preserve"> Produkt krajowy brutto</w:t>
      </w:r>
    </w:p>
    <w:p w:rsidR="00FD7829" w:rsidRPr="00F14380" w:rsidRDefault="00FD7829" w:rsidP="00F14380">
      <w:pPr>
        <w:spacing w:after="120"/>
        <w:rPr>
          <w:rFonts w:asciiTheme="minorHAnsi" w:hAnsiTheme="minorHAnsi" w:cstheme="minorHAnsi"/>
          <w:bCs/>
          <w:sz w:val="21"/>
          <w:szCs w:val="21"/>
        </w:rPr>
      </w:pPr>
      <w:r w:rsidRPr="00F14380">
        <w:rPr>
          <w:rFonts w:asciiTheme="minorHAnsi" w:eastAsia="Times New Roman" w:hAnsiTheme="minorHAnsi" w:cstheme="minorHAnsi"/>
          <w:b/>
          <w:bCs/>
          <w:color w:val="365F91"/>
          <w:sz w:val="21"/>
          <w:szCs w:val="21"/>
        </w:rPr>
        <w:t>PO Ryby</w:t>
      </w:r>
      <w:r w:rsidRPr="00F14380">
        <w:rPr>
          <w:rFonts w:asciiTheme="minorHAnsi" w:eastAsiaTheme="minorHAnsi" w:hAnsiTheme="minorHAnsi" w:cstheme="minorHAnsi"/>
          <w:bCs/>
          <w:sz w:val="21"/>
          <w:szCs w:val="21"/>
        </w:rPr>
        <w:t xml:space="preserve"> </w:t>
      </w:r>
      <w:hyperlink r:id="rId100" w:history="1">
        <w:r w:rsidRPr="00F14380">
          <w:rPr>
            <w:rFonts w:asciiTheme="minorHAnsi" w:hAnsiTheme="minorHAnsi" w:cstheme="minorHAnsi"/>
            <w:bCs/>
            <w:sz w:val="21"/>
            <w:szCs w:val="21"/>
          </w:rPr>
          <w:t>Program Operacyjny Rybactwo i Morze 2014-2020</w:t>
        </w:r>
      </w:hyperlink>
    </w:p>
    <w:p w:rsidR="00FD7829" w:rsidRPr="00F14380" w:rsidRDefault="00FD7829" w:rsidP="00F14380">
      <w:pPr>
        <w:spacing w:after="120"/>
        <w:rPr>
          <w:rFonts w:asciiTheme="minorHAnsi" w:eastAsia="Times New Roman" w:hAnsiTheme="minorHAnsi" w:cstheme="minorHAnsi"/>
          <w:b/>
          <w:bCs/>
          <w:color w:val="365F91"/>
          <w:sz w:val="21"/>
          <w:szCs w:val="21"/>
        </w:rPr>
      </w:pPr>
      <w:r w:rsidRPr="00F14380">
        <w:rPr>
          <w:rFonts w:asciiTheme="minorHAnsi" w:eastAsia="Times New Roman" w:hAnsiTheme="minorHAnsi" w:cstheme="minorHAnsi"/>
          <w:b/>
          <w:bCs/>
          <w:color w:val="365F91"/>
          <w:sz w:val="21"/>
          <w:szCs w:val="21"/>
        </w:rPr>
        <w:t xml:space="preserve">PO WER </w:t>
      </w:r>
      <w:r w:rsidRPr="00F14380">
        <w:rPr>
          <w:rFonts w:asciiTheme="minorHAnsi" w:hAnsiTheme="minorHAnsi" w:cstheme="minorHAnsi"/>
          <w:bCs/>
          <w:sz w:val="21"/>
          <w:szCs w:val="21"/>
        </w:rPr>
        <w:t>Program Operacyjny Wiedza Edukacja Rozwój 2014-2020</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POIŚ</w:t>
      </w:r>
      <w:r w:rsidRPr="00F14380">
        <w:rPr>
          <w:rFonts w:asciiTheme="minorHAnsi" w:hAnsiTheme="minorHAnsi" w:cstheme="minorHAnsi"/>
          <w:color w:val="0070C1"/>
          <w:sz w:val="21"/>
          <w:szCs w:val="21"/>
        </w:rPr>
        <w:t xml:space="preserve"> </w:t>
      </w:r>
      <w:r w:rsidRPr="00F14380">
        <w:rPr>
          <w:rFonts w:asciiTheme="minorHAnsi" w:hAnsiTheme="minorHAnsi" w:cstheme="minorHAnsi"/>
          <w:sz w:val="21"/>
          <w:szCs w:val="21"/>
        </w:rPr>
        <w:t>Program Operacyjny Infrastruktura i Środowisko 2014-2020</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PROW</w:t>
      </w:r>
      <w:r w:rsidRPr="00F14380">
        <w:rPr>
          <w:rFonts w:asciiTheme="minorHAnsi" w:hAnsiTheme="minorHAnsi" w:cstheme="minorHAnsi"/>
          <w:sz w:val="21"/>
          <w:szCs w:val="21"/>
        </w:rPr>
        <w:t xml:space="preserve"> </w:t>
      </w:r>
      <w:r w:rsidRPr="00F14380">
        <w:rPr>
          <w:rFonts w:asciiTheme="minorHAnsi" w:hAnsiTheme="minorHAnsi" w:cstheme="minorHAnsi"/>
          <w:bCs/>
          <w:sz w:val="21"/>
          <w:szCs w:val="21"/>
        </w:rPr>
        <w:t>Program Rozwoju Obszarów Wiejskich</w:t>
      </w:r>
      <w:r w:rsidRPr="00F14380">
        <w:rPr>
          <w:rFonts w:asciiTheme="minorHAnsi" w:hAnsiTheme="minorHAnsi" w:cstheme="minorHAnsi"/>
          <w:sz w:val="21"/>
          <w:szCs w:val="21"/>
        </w:rPr>
        <w:t xml:space="preserve"> na lata 2014 – 2020</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PZPWD</w:t>
      </w:r>
      <w:r w:rsidRPr="00F14380">
        <w:rPr>
          <w:rFonts w:asciiTheme="minorHAnsi" w:hAnsiTheme="minorHAnsi" w:cstheme="minorHAnsi"/>
          <w:sz w:val="21"/>
          <w:szCs w:val="21"/>
        </w:rPr>
        <w:t xml:space="preserve"> Plan Zagospodarowania Przestrzennego Województwa Dolnośląskiego </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RFT</w:t>
      </w:r>
      <w:r w:rsidRPr="00F14380">
        <w:rPr>
          <w:rFonts w:asciiTheme="minorHAnsi" w:hAnsiTheme="minorHAnsi" w:cstheme="minorHAnsi"/>
          <w:sz w:val="21"/>
          <w:szCs w:val="21"/>
        </w:rPr>
        <w:t xml:space="preserve"> Regionalne Forum Terytorialne</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SOR</w:t>
      </w:r>
      <w:r w:rsidRPr="00F14380">
        <w:rPr>
          <w:rFonts w:asciiTheme="minorHAnsi" w:hAnsiTheme="minorHAnsi" w:cstheme="minorHAnsi"/>
          <w:sz w:val="21"/>
          <w:szCs w:val="21"/>
        </w:rPr>
        <w:t xml:space="preserve"> Strategia na rzecz Odpowiedzialnego Rozwoju do roku 2020</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SRWD</w:t>
      </w:r>
      <w:r w:rsidRPr="00F14380">
        <w:rPr>
          <w:rFonts w:asciiTheme="minorHAnsi" w:hAnsiTheme="minorHAnsi" w:cstheme="minorHAnsi"/>
          <w:sz w:val="21"/>
          <w:szCs w:val="21"/>
        </w:rPr>
        <w:t xml:space="preserve"> </w:t>
      </w:r>
      <w:r w:rsidRPr="00F14380">
        <w:rPr>
          <w:rFonts w:asciiTheme="minorHAnsi" w:eastAsia="Times New Roman" w:hAnsiTheme="minorHAnsi" w:cstheme="minorHAnsi"/>
          <w:b/>
          <w:bCs/>
          <w:color w:val="365F91"/>
          <w:sz w:val="21"/>
          <w:szCs w:val="21"/>
        </w:rPr>
        <w:t>2030</w:t>
      </w:r>
      <w:r w:rsidRPr="00F14380">
        <w:rPr>
          <w:rFonts w:asciiTheme="minorHAnsi" w:hAnsiTheme="minorHAnsi" w:cstheme="minorHAnsi"/>
          <w:sz w:val="21"/>
          <w:szCs w:val="21"/>
        </w:rPr>
        <w:t xml:space="preserve"> Strategia Rozwoju Województwa Dolnośląskiego</w:t>
      </w:r>
      <w:r w:rsidR="006F03F2" w:rsidRPr="00F14380">
        <w:rPr>
          <w:rFonts w:asciiTheme="minorHAnsi" w:hAnsiTheme="minorHAnsi" w:cstheme="minorHAnsi"/>
          <w:sz w:val="21"/>
          <w:szCs w:val="21"/>
        </w:rPr>
        <w:t xml:space="preserve"> 2030</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SSE</w:t>
      </w:r>
      <w:r w:rsidRPr="00F14380">
        <w:rPr>
          <w:rFonts w:asciiTheme="minorHAnsi" w:hAnsiTheme="minorHAnsi" w:cstheme="minorHAnsi"/>
          <w:sz w:val="21"/>
          <w:szCs w:val="21"/>
        </w:rPr>
        <w:t xml:space="preserve"> Specjalne Strefy Ekonomiczne</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TEN-T</w:t>
      </w:r>
      <w:r w:rsidRPr="00F14380">
        <w:rPr>
          <w:rFonts w:asciiTheme="minorHAnsi" w:hAnsiTheme="minorHAnsi" w:cstheme="minorHAnsi"/>
          <w:sz w:val="21"/>
          <w:szCs w:val="21"/>
        </w:rPr>
        <w:t xml:space="preserve"> Transeuropejskie sieci transportowe (ang. </w:t>
      </w:r>
      <w:proofErr w:type="spellStart"/>
      <w:r w:rsidRPr="00F14380">
        <w:rPr>
          <w:rFonts w:asciiTheme="minorHAnsi" w:hAnsiTheme="minorHAnsi" w:cstheme="minorHAnsi"/>
          <w:sz w:val="21"/>
          <w:szCs w:val="21"/>
        </w:rPr>
        <w:t>Trans-European</w:t>
      </w:r>
      <w:proofErr w:type="spellEnd"/>
      <w:r w:rsidRPr="00F14380">
        <w:rPr>
          <w:rFonts w:asciiTheme="minorHAnsi" w:hAnsiTheme="minorHAnsi" w:cstheme="minorHAnsi"/>
          <w:sz w:val="21"/>
          <w:szCs w:val="21"/>
        </w:rPr>
        <w:t xml:space="preserve"> Network-Transport)</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UMWD</w:t>
      </w:r>
      <w:r w:rsidRPr="00F14380">
        <w:rPr>
          <w:rFonts w:asciiTheme="minorHAnsi" w:hAnsiTheme="minorHAnsi" w:cstheme="minorHAnsi"/>
          <w:sz w:val="21"/>
          <w:szCs w:val="21"/>
        </w:rPr>
        <w:t xml:space="preserve"> Urząd Marszałkowski Województwa Dolnośląskiego</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UNESCO</w:t>
      </w:r>
      <w:r w:rsidRPr="00F14380">
        <w:rPr>
          <w:rFonts w:asciiTheme="minorHAnsi" w:hAnsiTheme="minorHAnsi" w:cstheme="minorHAnsi"/>
          <w:sz w:val="21"/>
          <w:szCs w:val="21"/>
        </w:rPr>
        <w:t xml:space="preserve"> Organizacja Narodów Zjednoczonych do spraw Oświaty, Nauki i Kultury </w:t>
      </w:r>
    </w:p>
    <w:p w:rsidR="00FD7829" w:rsidRPr="00F14380" w:rsidRDefault="00FD7829" w:rsidP="00F14380">
      <w:pPr>
        <w:spacing w:after="120"/>
        <w:rPr>
          <w:rFonts w:asciiTheme="minorHAnsi" w:hAnsiTheme="minorHAnsi" w:cstheme="minorHAnsi"/>
          <w:sz w:val="21"/>
          <w:szCs w:val="21"/>
        </w:rPr>
      </w:pPr>
      <w:r w:rsidRPr="00F14380">
        <w:rPr>
          <w:rFonts w:asciiTheme="minorHAnsi" w:eastAsia="Times New Roman" w:hAnsiTheme="minorHAnsi" w:cstheme="minorHAnsi"/>
          <w:b/>
          <w:bCs/>
          <w:color w:val="365F91"/>
          <w:sz w:val="21"/>
          <w:szCs w:val="21"/>
        </w:rPr>
        <w:t>WRDS</w:t>
      </w:r>
      <w:r w:rsidRPr="00F14380">
        <w:rPr>
          <w:rFonts w:asciiTheme="minorHAnsi" w:hAnsiTheme="minorHAnsi" w:cstheme="minorHAnsi"/>
          <w:sz w:val="21"/>
          <w:szCs w:val="21"/>
        </w:rPr>
        <w:t xml:space="preserve"> Wojewódzka Rada Dialogu Społecznego</w:t>
      </w:r>
    </w:p>
    <w:p w:rsidR="00B20AE0" w:rsidRDefault="00FD7829" w:rsidP="00F14380">
      <w:pPr>
        <w:spacing w:after="120"/>
      </w:pPr>
      <w:r w:rsidRPr="00F14380">
        <w:rPr>
          <w:rFonts w:asciiTheme="minorHAnsi" w:eastAsia="Times New Roman" w:hAnsiTheme="minorHAnsi" w:cstheme="minorHAnsi"/>
          <w:b/>
          <w:bCs/>
          <w:color w:val="365F91"/>
          <w:sz w:val="21"/>
          <w:szCs w:val="21"/>
        </w:rPr>
        <w:t>ZIT</w:t>
      </w:r>
      <w:r w:rsidRPr="00F14380">
        <w:rPr>
          <w:rFonts w:asciiTheme="minorHAnsi" w:hAnsiTheme="minorHAnsi" w:cstheme="minorHAnsi"/>
          <w:color w:val="0070C1"/>
          <w:sz w:val="21"/>
          <w:szCs w:val="21"/>
        </w:rPr>
        <w:t xml:space="preserve"> </w:t>
      </w:r>
      <w:r w:rsidRPr="00F14380">
        <w:rPr>
          <w:rFonts w:asciiTheme="minorHAnsi" w:hAnsiTheme="minorHAnsi" w:cstheme="minorHAnsi"/>
          <w:color w:val="000000"/>
          <w:sz w:val="21"/>
          <w:szCs w:val="21"/>
        </w:rPr>
        <w:t>Zintegrowane Inwestycje Terytorialne</w:t>
      </w:r>
    </w:p>
    <w:sectPr w:rsidR="00B20AE0" w:rsidSect="00D113CA">
      <w:pgSz w:w="11906" w:h="16838" w:code="9"/>
      <w:pgMar w:top="1418" w:right="1418" w:bottom="851"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A26B5" w:rsidRDefault="008A26B5" w:rsidP="004C2A48">
      <w:pPr>
        <w:spacing w:after="0" w:line="240" w:lineRule="auto"/>
      </w:pPr>
      <w:r>
        <w:separator/>
      </w:r>
    </w:p>
  </w:endnote>
  <w:endnote w:type="continuationSeparator" w:id="0">
    <w:p w:rsidR="008A26B5" w:rsidRDefault="008A26B5" w:rsidP="004C2A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ourier New">
    <w:panose1 w:val="02070309020205020404"/>
    <w:charset w:val="EE"/>
    <w:family w:val="modern"/>
    <w:pitch w:val="fixed"/>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Century Gothic">
    <w:panose1 w:val="020B05020202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Myriad Pro">
    <w:altName w:val="Arial"/>
    <w:panose1 w:val="00000000000000000000"/>
    <w:charset w:val="00"/>
    <w:family w:val="swiss"/>
    <w:notTrueType/>
    <w:pitch w:val="variable"/>
    <w:sig w:usb0="00000001" w:usb1="00000001" w:usb2="00000000" w:usb3="00000000" w:csb0="0000019F"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EE"/>
    <w:family w:val="swiss"/>
    <w:pitch w:val="variable"/>
    <w:sig w:usb0="E10022FF" w:usb1="C000E47F" w:usb2="00000029" w:usb3="00000000" w:csb0="000001DF" w:csb1="00000000"/>
  </w:font>
  <w:font w:name="Myriad Pro Cond">
    <w:altName w:val="Arial"/>
    <w:panose1 w:val="00000000000000000000"/>
    <w:charset w:val="00"/>
    <w:family w:val="swiss"/>
    <w:notTrueType/>
    <w:pitch w:val="variable"/>
    <w:sig w:usb0="00000001" w:usb1="00000001" w:usb2="00000000" w:usb3="00000000" w:csb0="0000019F" w:csb1="00000000"/>
  </w:font>
  <w:font w:name="Open Sans">
    <w:altName w:val="Tahoma"/>
    <w:charset w:val="EE"/>
    <w:family w:val="swiss"/>
    <w:pitch w:val="variable"/>
    <w:sig w:usb0="E00002EF" w:usb1="4000205B" w:usb2="00000028"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E6670D">
    <w:pPr>
      <w:pStyle w:val="Stopka"/>
      <w:jc w:val="center"/>
    </w:pPr>
    <w:r>
      <w:fldChar w:fldCharType="begin"/>
    </w:r>
    <w:r w:rsidR="006B79DC">
      <w:instrText>PAGE   \* MERGEFORMAT</w:instrText>
    </w:r>
    <w:r>
      <w:fldChar w:fldCharType="separate"/>
    </w:r>
    <w:r w:rsidR="007505CB">
      <w:rPr>
        <w:noProof/>
      </w:rPr>
      <w:t>12</w:t>
    </w:r>
    <w:r>
      <w:rPr>
        <w:noProof/>
      </w:rPr>
      <w:fldChar w:fldCharType="end"/>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E6670D">
    <w:pPr>
      <w:pStyle w:val="Stopka"/>
      <w:jc w:val="center"/>
    </w:pPr>
    <w:r>
      <w:fldChar w:fldCharType="begin"/>
    </w:r>
    <w:r w:rsidR="006B79DC">
      <w:instrText>PAGE   \* MERGEFORMAT</w:instrText>
    </w:r>
    <w:r>
      <w:fldChar w:fldCharType="separate"/>
    </w:r>
    <w:r w:rsidR="004F75D9">
      <w:rPr>
        <w:noProof/>
      </w:rPr>
      <w:t>29</w:t>
    </w:r>
    <w:r>
      <w:rPr>
        <w:noProof/>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E6670D">
    <w:pPr>
      <w:pStyle w:val="Stopka"/>
      <w:jc w:val="center"/>
    </w:pPr>
    <w:r>
      <w:fldChar w:fldCharType="begin"/>
    </w:r>
    <w:r w:rsidR="006B79DC">
      <w:instrText xml:space="preserve"> PAGE   \* MERGEFORMAT </w:instrText>
    </w:r>
    <w:r>
      <w:fldChar w:fldCharType="separate"/>
    </w:r>
    <w:r w:rsidR="007505CB">
      <w:rPr>
        <w:noProof/>
      </w:rPr>
      <w:t>42</w:t>
    </w:r>
    <w:r>
      <w:rPr>
        <w:noProof/>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E6670D">
    <w:pPr>
      <w:pStyle w:val="Stopka"/>
      <w:jc w:val="center"/>
    </w:pPr>
    <w:r>
      <w:fldChar w:fldCharType="begin"/>
    </w:r>
    <w:r w:rsidR="006B79DC">
      <w:instrText>PAGE   \* MERGEFORMAT</w:instrText>
    </w:r>
    <w:r>
      <w:fldChar w:fldCharType="separate"/>
    </w:r>
    <w:r w:rsidR="007505CB">
      <w:rPr>
        <w:noProof/>
      </w:rPr>
      <w:t>41</w:t>
    </w:r>
    <w:r>
      <w:rPr>
        <w:noProof/>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6B79DC">
    <w:pPr>
      <w:pStyle w:val="Stopka"/>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E6670D">
    <w:pPr>
      <w:pStyle w:val="Stopka"/>
      <w:rPr>
        <w:noProof/>
      </w:rPr>
    </w:pPr>
    <w:r>
      <w:rPr>
        <w:noProof/>
      </w:rPr>
      <w:fldChar w:fldCharType="begin"/>
    </w:r>
    <w:r w:rsidR="006B79DC">
      <w:rPr>
        <w:noProof/>
      </w:rPr>
      <w:instrText>PAGE   \* MERGEFORMAT</w:instrText>
    </w:r>
    <w:r>
      <w:rPr>
        <w:noProof/>
      </w:rPr>
      <w:fldChar w:fldCharType="separate"/>
    </w:r>
    <w:r w:rsidR="006B79DC">
      <w:rPr>
        <w:noProof/>
      </w:rPr>
      <w:t>2</w:t>
    </w:r>
    <w:r>
      <w:rPr>
        <w:noProof/>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E6670D" w:rsidP="000C6BE4">
    <w:pPr>
      <w:pStyle w:val="Stopka"/>
    </w:pPr>
    <w:r>
      <w:fldChar w:fldCharType="begin"/>
    </w:r>
    <w:r w:rsidR="006B79DC">
      <w:instrText>PAGE   \* MERGEFORMAT</w:instrText>
    </w:r>
    <w:r>
      <w:fldChar w:fldCharType="separate"/>
    </w:r>
    <w:r w:rsidR="006B79DC">
      <w:rPr>
        <w:noProof/>
      </w:rPr>
      <w:t>24</w:t>
    </w:r>
    <w:r>
      <w:rPr>
        <w:noProof/>
      </w:rPr>
      <w:fldChar w:fldCharType="end"/>
    </w:r>
  </w:p>
  <w:p w:rsidR="006B79DC" w:rsidRDefault="006B79DC">
    <w:pPr>
      <w:pStyle w:val="Stopka"/>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E6670D">
    <w:pPr>
      <w:pStyle w:val="Stopka"/>
      <w:jc w:val="center"/>
    </w:pPr>
    <w:r>
      <w:fldChar w:fldCharType="begin"/>
    </w:r>
    <w:r w:rsidR="006B79DC">
      <w:instrText>PAGE   \* MERGEFORMAT</w:instrText>
    </w:r>
    <w:r>
      <w:fldChar w:fldCharType="separate"/>
    </w:r>
    <w:r w:rsidR="007505CB">
      <w:rPr>
        <w:noProof/>
      </w:rPr>
      <w:t>8</w:t>
    </w:r>
    <w:r>
      <w:rPr>
        <w:noProof/>
      </w:rPr>
      <w:fldChar w:fldCharType="end"/>
    </w:r>
  </w:p>
  <w:p w:rsidR="006B79DC" w:rsidRDefault="006B79DC">
    <w:pPr>
      <w:pStyle w:val="Stopka"/>
      <w:jc w:val="righ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E6670D">
    <w:pPr>
      <w:pStyle w:val="Stopka"/>
      <w:jc w:val="center"/>
    </w:pPr>
    <w:r>
      <w:fldChar w:fldCharType="begin"/>
    </w:r>
    <w:r w:rsidR="006B79DC">
      <w:instrText>PAGE   \* MERGEFORMAT</w:instrText>
    </w:r>
    <w:r>
      <w:fldChar w:fldCharType="separate"/>
    </w:r>
    <w:r w:rsidR="007505CB">
      <w:rPr>
        <w:noProof/>
      </w:rPr>
      <w:t>9</w:t>
    </w:r>
    <w:r>
      <w:rPr>
        <w:noProof/>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E6670D">
    <w:pPr>
      <w:pStyle w:val="Stopka"/>
      <w:jc w:val="center"/>
    </w:pPr>
    <w:r>
      <w:fldChar w:fldCharType="begin"/>
    </w:r>
    <w:r w:rsidR="006B79DC">
      <w:instrText>PAGE   \* MERGEFORMAT</w:instrText>
    </w:r>
    <w:r>
      <w:fldChar w:fldCharType="separate"/>
    </w:r>
    <w:r w:rsidR="007505CB">
      <w:rPr>
        <w:noProof/>
      </w:rPr>
      <w:t>32</w:t>
    </w:r>
    <w:r>
      <w:rPr>
        <w:noProof/>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E6670D" w:rsidP="000C6BE4">
    <w:pPr>
      <w:pStyle w:val="Stopka"/>
    </w:pPr>
    <w:r>
      <w:fldChar w:fldCharType="begin"/>
    </w:r>
    <w:r w:rsidR="006B79DC">
      <w:instrText>PAGE   \* MERGEFORMAT</w:instrText>
    </w:r>
    <w:r>
      <w:fldChar w:fldCharType="separate"/>
    </w:r>
    <w:r w:rsidR="006B79DC">
      <w:rPr>
        <w:noProof/>
      </w:rPr>
      <w:t>18</w:t>
    </w:r>
    <w:r>
      <w:rPr>
        <w:noProof/>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E6670D">
    <w:pPr>
      <w:pStyle w:val="Stopka"/>
      <w:jc w:val="center"/>
    </w:pPr>
    <w:r>
      <w:fldChar w:fldCharType="begin"/>
    </w:r>
    <w:r w:rsidR="006B79DC">
      <w:instrText>PAGE   \* MERGEFORMAT</w:instrText>
    </w:r>
    <w:r>
      <w:fldChar w:fldCharType="separate"/>
    </w:r>
    <w:r w:rsidR="006B79DC">
      <w:rPr>
        <w:noProof/>
      </w:rPr>
      <w:t>24</w:t>
    </w:r>
    <w:r>
      <w:rPr>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A26B5" w:rsidRDefault="008A26B5" w:rsidP="004C2A48">
      <w:pPr>
        <w:spacing w:after="0" w:line="240" w:lineRule="auto"/>
      </w:pPr>
      <w:r>
        <w:separator/>
      </w:r>
    </w:p>
  </w:footnote>
  <w:footnote w:type="continuationSeparator" w:id="0">
    <w:p w:rsidR="008A26B5" w:rsidRDefault="008A26B5" w:rsidP="004C2A48">
      <w:pPr>
        <w:spacing w:after="0" w:line="240" w:lineRule="auto"/>
      </w:pPr>
      <w:r>
        <w:continuationSeparator/>
      </w:r>
    </w:p>
  </w:footnote>
  <w:footnote w:id="1">
    <w:p w:rsidR="006B79DC" w:rsidRPr="00D113CA" w:rsidRDefault="006B79DC" w:rsidP="004964B3">
      <w:pPr>
        <w:pStyle w:val="rdo0"/>
        <w:ind w:left="0" w:firstLine="0"/>
        <w:jc w:val="both"/>
        <w:rPr>
          <w:i w:val="0"/>
        </w:rPr>
      </w:pPr>
      <w:r w:rsidRPr="0082157C">
        <w:rPr>
          <w:rStyle w:val="Odwoanieprzypisudolnego"/>
          <w:color w:val="000000" w:themeColor="text1"/>
        </w:rPr>
        <w:footnoteRef/>
      </w:r>
      <w:r w:rsidRPr="0082157C">
        <w:rPr>
          <w:color w:val="000000" w:themeColor="text1"/>
        </w:rPr>
        <w:t xml:space="preserve"> Plan przeciwdziałania skutkom suszy w regionach wodnych Środkowej Odry, Izery, Metuje, Łaby i Ostrożnicy (Upa), Orlicy i</w:t>
      </w:r>
      <w:r>
        <w:rPr>
          <w:color w:val="000000" w:themeColor="text1"/>
        </w:rPr>
        <w:t> </w:t>
      </w:r>
      <w:r w:rsidRPr="0082157C">
        <w:rPr>
          <w:color w:val="000000" w:themeColor="text1"/>
        </w:rPr>
        <w:t xml:space="preserve">Morawy, RZGW we Wrocławiu, </w:t>
      </w:r>
      <w:r w:rsidRPr="0082157C">
        <w:rPr>
          <w:i w:val="0"/>
          <w:color w:val="000000" w:themeColor="text1"/>
        </w:rPr>
        <w:t>Warszawa sierpień 2017.</w:t>
      </w:r>
    </w:p>
  </w:footnote>
  <w:footnote w:id="2">
    <w:p w:rsidR="006B79DC" w:rsidRPr="00CB0324" w:rsidRDefault="006B79DC" w:rsidP="00E2534F">
      <w:pPr>
        <w:pStyle w:val="Tekstprzypisudolnego"/>
        <w:jc w:val="both"/>
        <w:rPr>
          <w:rFonts w:asciiTheme="minorHAnsi" w:hAnsiTheme="minorHAnsi" w:cstheme="minorHAnsi"/>
          <w:sz w:val="16"/>
          <w:szCs w:val="16"/>
        </w:rPr>
      </w:pPr>
      <w:r w:rsidRPr="00E7427F">
        <w:rPr>
          <w:rStyle w:val="Odwoanieprzypisudolnego"/>
          <w:rFonts w:asciiTheme="minorHAnsi" w:hAnsiTheme="minorHAnsi" w:cstheme="minorHAnsi"/>
          <w:color w:val="000000" w:themeColor="text1"/>
          <w:sz w:val="16"/>
          <w:szCs w:val="16"/>
        </w:rPr>
        <w:footnoteRef/>
      </w:r>
      <w:r w:rsidRPr="00E7427F">
        <w:rPr>
          <w:rFonts w:asciiTheme="minorHAnsi" w:hAnsiTheme="minorHAnsi" w:cstheme="minorHAnsi"/>
          <w:color w:val="000000" w:themeColor="text1"/>
          <w:sz w:val="16"/>
          <w:szCs w:val="16"/>
        </w:rPr>
        <w:t xml:space="preserve"> Dane Narodowego Instytutu Dziedzictwa i Dolnośląskiego Wojewódzkiego Konserwatora Zabytków.</w:t>
      </w:r>
    </w:p>
  </w:footnote>
  <w:footnote w:id="3">
    <w:p w:rsidR="006B79DC" w:rsidRPr="00191A1B" w:rsidRDefault="006B79DC">
      <w:pPr>
        <w:pStyle w:val="Tekstprzypisudolnego"/>
        <w:rPr>
          <w:rFonts w:asciiTheme="minorHAnsi" w:hAnsiTheme="minorHAnsi" w:cstheme="minorHAnsi"/>
          <w:sz w:val="16"/>
          <w:szCs w:val="16"/>
        </w:rPr>
      </w:pPr>
      <w:r w:rsidRPr="00191A1B">
        <w:rPr>
          <w:rStyle w:val="Odwoanieprzypisudolnego"/>
          <w:rFonts w:asciiTheme="minorHAnsi" w:hAnsiTheme="minorHAnsi" w:cstheme="minorHAnsi"/>
          <w:sz w:val="16"/>
          <w:szCs w:val="16"/>
        </w:rPr>
        <w:footnoteRef/>
      </w:r>
      <w:r w:rsidRPr="00191A1B">
        <w:rPr>
          <w:rFonts w:asciiTheme="minorHAnsi" w:hAnsiTheme="minorHAnsi" w:cstheme="minorHAnsi"/>
          <w:sz w:val="16"/>
          <w:szCs w:val="16"/>
        </w:rPr>
        <w:t xml:space="preserve"> </w:t>
      </w:r>
      <w:r w:rsidRPr="00191A1B">
        <w:rPr>
          <w:rFonts w:asciiTheme="minorHAnsi" w:hAnsiTheme="minorHAnsi" w:cstheme="minorHAnsi"/>
          <w:color w:val="404040"/>
          <w:sz w:val="16"/>
          <w:szCs w:val="16"/>
        </w:rPr>
        <w:t>Narodowy Spis Powszechny</w:t>
      </w:r>
    </w:p>
  </w:footnote>
  <w:footnote w:id="4">
    <w:p w:rsidR="006B79DC" w:rsidRPr="006A31A7" w:rsidRDefault="006B79DC" w:rsidP="006A31A7">
      <w:pPr>
        <w:pStyle w:val="Tekstprzypisudolnego"/>
        <w:jc w:val="both"/>
        <w:rPr>
          <w:rFonts w:asciiTheme="minorHAnsi" w:hAnsiTheme="minorHAnsi" w:cstheme="minorHAnsi"/>
          <w:sz w:val="16"/>
          <w:szCs w:val="16"/>
        </w:rPr>
      </w:pPr>
      <w:r w:rsidRPr="00E7427F">
        <w:rPr>
          <w:rStyle w:val="Odwoanieprzypisudolnego"/>
          <w:rFonts w:asciiTheme="minorHAnsi" w:hAnsiTheme="minorHAnsi" w:cstheme="minorHAnsi"/>
          <w:color w:val="000000" w:themeColor="text1"/>
          <w:sz w:val="16"/>
          <w:szCs w:val="16"/>
        </w:rPr>
        <w:footnoteRef/>
      </w:r>
      <w:r w:rsidRPr="00E7427F">
        <w:rPr>
          <w:rFonts w:asciiTheme="minorHAnsi" w:hAnsiTheme="minorHAnsi" w:cstheme="minorHAnsi"/>
          <w:color w:val="000000" w:themeColor="text1"/>
          <w:sz w:val="16"/>
          <w:szCs w:val="16"/>
        </w:rPr>
        <w:t xml:space="preserve"> Badania Aktywności Ekonomicznej Ludności (BAEL) jest prowadzone od maja 1992 r. przez Główny Urząd Statystyczny co kwartał zgodnie z metodyką Międzynarodowej Organizacji Pracy. Badaniem objęte są osoby będące członkami wylosowanych gospodarstw domowych, przy czym w </w:t>
      </w:r>
      <w:r w:rsidRPr="006A31A7">
        <w:rPr>
          <w:rFonts w:asciiTheme="minorHAnsi" w:hAnsiTheme="minorHAnsi" w:cstheme="minorHAnsi"/>
          <w:color w:val="404040"/>
          <w:sz w:val="16"/>
          <w:szCs w:val="16"/>
        </w:rPr>
        <w:t>każdej fali badania wymieniana jest  ¼ składu próby.</w:t>
      </w:r>
    </w:p>
  </w:footnote>
  <w:footnote w:id="5">
    <w:p w:rsidR="006B79DC" w:rsidRPr="00E7427F" w:rsidRDefault="006B79DC" w:rsidP="001D1B69">
      <w:pPr>
        <w:pStyle w:val="Tekstprzypisudolnego"/>
        <w:jc w:val="both"/>
        <w:rPr>
          <w:rFonts w:asciiTheme="minorHAnsi" w:hAnsiTheme="minorHAnsi" w:cstheme="minorHAnsi"/>
          <w:color w:val="000000" w:themeColor="text1"/>
          <w:sz w:val="16"/>
          <w:szCs w:val="16"/>
        </w:rPr>
      </w:pPr>
      <w:r w:rsidRPr="00E7427F">
        <w:rPr>
          <w:rFonts w:asciiTheme="minorHAnsi" w:hAnsiTheme="minorHAnsi" w:cstheme="minorHAnsi"/>
          <w:color w:val="000000" w:themeColor="text1"/>
          <w:sz w:val="16"/>
          <w:szCs w:val="16"/>
          <w:vertAlign w:val="superscript"/>
        </w:rPr>
        <w:footnoteRef/>
      </w:r>
      <w:r w:rsidRPr="00E7427F">
        <w:rPr>
          <w:rFonts w:asciiTheme="minorHAnsi" w:hAnsiTheme="minorHAnsi" w:cstheme="minorHAnsi"/>
          <w:color w:val="000000" w:themeColor="text1"/>
          <w:sz w:val="16"/>
          <w:szCs w:val="16"/>
        </w:rPr>
        <w:t xml:space="preserve"> Dolnośląski Park Innowacji i Nauki S.A., Dolnośląski Park Technologiczny „T-Park”, Legnicki Park Technologiczny LETIA S.A., Wrocławski Park Technologiczny S.A., Wrocławski Park Przemysłowy S.A., Głogowski Park Przemysłowy Sp. z o.o..</w:t>
      </w:r>
    </w:p>
  </w:footnote>
  <w:footnote w:id="6">
    <w:p w:rsidR="006B79DC" w:rsidRPr="00E7427F" w:rsidRDefault="006B79DC" w:rsidP="001D1B69">
      <w:pPr>
        <w:pStyle w:val="Tekstprzypisudolnego"/>
        <w:jc w:val="both"/>
        <w:rPr>
          <w:rFonts w:asciiTheme="minorHAnsi" w:hAnsiTheme="minorHAnsi" w:cstheme="minorHAnsi"/>
          <w:color w:val="000000" w:themeColor="text1"/>
          <w:sz w:val="16"/>
          <w:szCs w:val="16"/>
        </w:rPr>
      </w:pPr>
      <w:r w:rsidRPr="00E7427F">
        <w:rPr>
          <w:rFonts w:asciiTheme="minorHAnsi" w:hAnsiTheme="minorHAnsi" w:cstheme="minorHAnsi"/>
          <w:color w:val="000000" w:themeColor="text1"/>
          <w:sz w:val="16"/>
          <w:szCs w:val="16"/>
          <w:vertAlign w:val="superscript"/>
        </w:rPr>
        <w:footnoteRef/>
      </w:r>
      <w:r w:rsidRPr="00E7427F">
        <w:rPr>
          <w:rFonts w:asciiTheme="minorHAnsi" w:hAnsiTheme="minorHAnsi" w:cstheme="minorHAnsi"/>
          <w:color w:val="000000" w:themeColor="text1"/>
          <w:sz w:val="16"/>
          <w:szCs w:val="16"/>
          <w:vertAlign w:val="superscript"/>
        </w:rPr>
        <w:t xml:space="preserve"> </w:t>
      </w:r>
      <w:r w:rsidRPr="00E7427F">
        <w:rPr>
          <w:rFonts w:asciiTheme="minorHAnsi" w:hAnsiTheme="minorHAnsi" w:cstheme="minorHAnsi"/>
          <w:color w:val="000000" w:themeColor="text1"/>
          <w:sz w:val="16"/>
          <w:szCs w:val="16"/>
        </w:rPr>
        <w:t>Wrocławskie Centrum Transferu Technologii Politechniki Wrocławskiej, Ośrodek Innowacji NOT w Legnicy, we Wrocławiu, w Świdnicy, Medyczne Centrum Transferu Technologii, Wrocławskie Centrum Badań EIT+ Sp. z o.o.</w:t>
      </w:r>
    </w:p>
  </w:footnote>
  <w:footnote w:id="7">
    <w:p w:rsidR="006B79DC" w:rsidRPr="00E7427F" w:rsidRDefault="006B79DC" w:rsidP="00486601">
      <w:pPr>
        <w:pStyle w:val="Tekstprzypisudolnego"/>
        <w:jc w:val="both"/>
        <w:rPr>
          <w:rFonts w:asciiTheme="minorHAnsi" w:hAnsiTheme="minorHAnsi" w:cstheme="minorHAnsi"/>
          <w:color w:val="000000" w:themeColor="text1"/>
          <w:sz w:val="16"/>
          <w:szCs w:val="16"/>
        </w:rPr>
      </w:pPr>
      <w:r w:rsidRPr="00E7427F">
        <w:rPr>
          <w:rFonts w:asciiTheme="minorHAnsi" w:hAnsiTheme="minorHAnsi" w:cstheme="minorHAnsi"/>
          <w:color w:val="000000" w:themeColor="text1"/>
          <w:sz w:val="16"/>
          <w:szCs w:val="16"/>
          <w:vertAlign w:val="superscript"/>
        </w:rPr>
        <w:footnoteRef/>
      </w:r>
      <w:r w:rsidRPr="00E7427F">
        <w:rPr>
          <w:rFonts w:asciiTheme="minorHAnsi" w:hAnsiTheme="minorHAnsi" w:cstheme="minorHAnsi"/>
          <w:color w:val="000000" w:themeColor="text1"/>
          <w:sz w:val="16"/>
          <w:szCs w:val="16"/>
        </w:rPr>
        <w:t xml:space="preserve"> Agencja Rozwoju Aglomeracji Wrocławskiej S.A., Agencja Rozwoju Regionalnego AGROREG S. A. w Nowej Rudzie, Agencja Rozwoju Regionalnego ARLEG S.A. w Legnicy, </w:t>
      </w:r>
      <w:proofErr w:type="spellStart"/>
      <w:r w:rsidRPr="00E7427F">
        <w:rPr>
          <w:rFonts w:asciiTheme="minorHAnsi" w:hAnsiTheme="minorHAnsi" w:cstheme="minorHAnsi"/>
          <w:color w:val="000000" w:themeColor="text1"/>
          <w:sz w:val="16"/>
          <w:szCs w:val="16"/>
        </w:rPr>
        <w:t>Convention</w:t>
      </w:r>
      <w:proofErr w:type="spellEnd"/>
      <w:r w:rsidRPr="00E7427F">
        <w:rPr>
          <w:rFonts w:asciiTheme="minorHAnsi" w:hAnsiTheme="minorHAnsi" w:cstheme="minorHAnsi"/>
          <w:color w:val="000000" w:themeColor="text1"/>
          <w:sz w:val="16"/>
          <w:szCs w:val="16"/>
        </w:rPr>
        <w:t xml:space="preserve"> </w:t>
      </w:r>
      <w:proofErr w:type="spellStart"/>
      <w:r w:rsidRPr="00E7427F">
        <w:rPr>
          <w:rFonts w:asciiTheme="minorHAnsi" w:hAnsiTheme="minorHAnsi" w:cstheme="minorHAnsi"/>
          <w:color w:val="000000" w:themeColor="text1"/>
          <w:sz w:val="16"/>
          <w:szCs w:val="16"/>
        </w:rPr>
        <w:t>Bureau-Wrocław</w:t>
      </w:r>
      <w:proofErr w:type="spellEnd"/>
      <w:r w:rsidRPr="00E7427F">
        <w:rPr>
          <w:rFonts w:asciiTheme="minorHAnsi" w:hAnsiTheme="minorHAnsi" w:cstheme="minorHAnsi"/>
          <w:color w:val="000000" w:themeColor="text1"/>
          <w:sz w:val="16"/>
          <w:szCs w:val="16"/>
        </w:rPr>
        <w:t>, Dolnośląska Agencja Rozwoju Regionalnego S.A. Szczawno Zdrój, Dolnośląska Agencja Współpracy Gospodarczej, Sp. z o.o. we Wrocławiu, Karkonoska Agencja Rozwoju Regionalnego S.A. w Jeleniej Górze, Wrocławska Agencja Rozwoju Regionalnego S.A., Agencja Rozwoju Innowacji S.A. we Wrocławiu.</w:t>
      </w:r>
    </w:p>
  </w:footnote>
  <w:footnote w:id="8">
    <w:p w:rsidR="006B79DC" w:rsidRDefault="006B79DC" w:rsidP="001D1B69">
      <w:pPr>
        <w:pStyle w:val="Tekstprzypisudolnego"/>
        <w:jc w:val="both"/>
      </w:pPr>
      <w:r w:rsidRPr="00E7427F">
        <w:rPr>
          <w:rFonts w:asciiTheme="minorHAnsi" w:hAnsiTheme="minorHAnsi" w:cstheme="minorHAnsi"/>
          <w:color w:val="000000" w:themeColor="text1"/>
          <w:sz w:val="16"/>
          <w:szCs w:val="16"/>
          <w:vertAlign w:val="superscript"/>
        </w:rPr>
        <w:footnoteRef/>
      </w:r>
      <w:r w:rsidRPr="00E7427F">
        <w:rPr>
          <w:rFonts w:asciiTheme="minorHAnsi" w:hAnsiTheme="minorHAnsi" w:cstheme="minorHAnsi"/>
          <w:color w:val="000000" w:themeColor="text1"/>
          <w:sz w:val="16"/>
          <w:szCs w:val="16"/>
        </w:rPr>
        <w:t xml:space="preserve"> Akademicki Inkubator Przedsiębiorczości Politechniki Wrocławskiej, Akademicki Inkubator Przedsiębiorczości przy Uniwersytecie Ekonomicznym we Wrocławiu, Akademicki Inkubator Przedsiębiorczości Uniwersytetu Przyrodniczego we Wrocławiu, Centrum Technologii Energetycznych w Świdnicy, Centrum Wspierania Przedsiębiorczości we Wrocławiu, Dolnośląski Akademicki Inkubator Przedsiębiorczości przy Wrocławskim Parku Technologicznym S.A., Inkubator Technologiczny - Dolnośląski Park Innowacji i Nauki S.A., Inkubator Przedsiębiorczości DAWG sp. z o.o., Inkubator Przedsiębiorczości i Technologii WPT.</w:t>
      </w:r>
    </w:p>
  </w:footnote>
  <w:footnote w:id="9">
    <w:p w:rsidR="006B79DC" w:rsidRPr="0099629B" w:rsidRDefault="006B79DC" w:rsidP="000C6BE4">
      <w:pPr>
        <w:pStyle w:val="Tekstprzypisudolnego"/>
        <w:jc w:val="both"/>
        <w:rPr>
          <w:rFonts w:ascii="Calibri" w:hAnsi="Calibri" w:cs="Calibri"/>
          <w:sz w:val="16"/>
          <w:szCs w:val="16"/>
        </w:rPr>
      </w:pPr>
      <w:r w:rsidRPr="00EE2088">
        <w:rPr>
          <w:rStyle w:val="Odwoanieprzypisudolnego"/>
          <w:rFonts w:ascii="Calibri" w:hAnsi="Calibri" w:cs="Calibri"/>
          <w:color w:val="000000"/>
          <w:sz w:val="16"/>
          <w:szCs w:val="16"/>
        </w:rPr>
        <w:footnoteRef/>
      </w:r>
      <w:r w:rsidRPr="00EE2088">
        <w:rPr>
          <w:rFonts w:ascii="Calibri" w:hAnsi="Calibri" w:cs="Calibri"/>
          <w:color w:val="000000"/>
          <w:sz w:val="16"/>
          <w:szCs w:val="16"/>
        </w:rPr>
        <w:t xml:space="preserve"> </w:t>
      </w:r>
      <w:r w:rsidRPr="00E2534F">
        <w:rPr>
          <w:rFonts w:ascii="Calibri" w:hAnsi="Calibri" w:cs="Calibri"/>
          <w:color w:val="404040"/>
          <w:sz w:val="16"/>
          <w:szCs w:val="16"/>
        </w:rPr>
        <w:t xml:space="preserve">Podstawowym źródłem energii elektrycznej na terenie województwa jest konwencjonalna elektrownia systemowa PGE </w:t>
      </w:r>
      <w:proofErr w:type="spellStart"/>
      <w:r w:rsidRPr="00E2534F">
        <w:rPr>
          <w:rFonts w:ascii="Calibri" w:hAnsi="Calibri" w:cs="Calibri"/>
          <w:color w:val="404040"/>
          <w:sz w:val="16"/>
          <w:szCs w:val="16"/>
        </w:rPr>
        <w:t>GiEK</w:t>
      </w:r>
      <w:proofErr w:type="spellEnd"/>
      <w:r w:rsidRPr="00E2534F">
        <w:rPr>
          <w:rFonts w:ascii="Calibri" w:hAnsi="Calibri" w:cs="Calibri"/>
          <w:color w:val="404040"/>
          <w:sz w:val="16"/>
          <w:szCs w:val="16"/>
        </w:rPr>
        <w:t xml:space="preserve"> S.A. Oddział Elektrownia Turów zlokalizowana w</w:t>
      </w:r>
      <w:r>
        <w:rPr>
          <w:rFonts w:ascii="Calibri" w:hAnsi="Calibri" w:cs="Calibri"/>
          <w:color w:val="404040"/>
          <w:sz w:val="16"/>
          <w:szCs w:val="16"/>
        </w:rPr>
        <w:t> </w:t>
      </w:r>
      <w:r w:rsidRPr="00E2534F">
        <w:rPr>
          <w:rFonts w:ascii="Calibri" w:hAnsi="Calibri" w:cs="Calibri"/>
          <w:color w:val="404040"/>
          <w:sz w:val="16"/>
          <w:szCs w:val="16"/>
        </w:rPr>
        <w:t>gminie Bogatynia (moc zainstalowana elektrowni od 2014 roku zmniejszyła się i wynosi 1 498,8 MW).</w:t>
      </w:r>
    </w:p>
  </w:footnote>
  <w:footnote w:id="10">
    <w:p w:rsidR="006B79DC" w:rsidRPr="00B10A10" w:rsidRDefault="006B79DC">
      <w:pPr>
        <w:pStyle w:val="Tekstprzypisudolnego"/>
        <w:rPr>
          <w:rFonts w:asciiTheme="minorHAnsi" w:hAnsiTheme="minorHAnsi" w:cstheme="minorHAnsi"/>
          <w:sz w:val="16"/>
          <w:szCs w:val="16"/>
        </w:rPr>
      </w:pPr>
      <w:r w:rsidRPr="00B10A10">
        <w:rPr>
          <w:rStyle w:val="Odwoanieprzypisudolnego"/>
          <w:rFonts w:asciiTheme="minorHAnsi" w:hAnsiTheme="minorHAnsi" w:cstheme="minorHAnsi"/>
          <w:sz w:val="16"/>
          <w:szCs w:val="16"/>
        </w:rPr>
        <w:footnoteRef/>
      </w:r>
      <w:r w:rsidRPr="00B10A10">
        <w:rPr>
          <w:rFonts w:asciiTheme="minorHAnsi" w:hAnsiTheme="minorHAnsi" w:cstheme="minorHAnsi"/>
          <w:sz w:val="16"/>
          <w:szCs w:val="16"/>
        </w:rPr>
        <w:t xml:space="preserve"> </w:t>
      </w:r>
      <w:r w:rsidRPr="00B10A10">
        <w:rPr>
          <w:rFonts w:asciiTheme="minorHAnsi" w:hAnsiTheme="minorHAnsi" w:cstheme="minorHAnsi"/>
          <w:color w:val="404040"/>
          <w:sz w:val="16"/>
          <w:szCs w:val="16"/>
        </w:rPr>
        <w:t xml:space="preserve">Subregion – pojęcie tożsame z terminem podregion (NTS 3). </w:t>
      </w:r>
    </w:p>
  </w:footnote>
  <w:footnote w:id="11">
    <w:p w:rsidR="006B79DC" w:rsidRPr="00807A6F" w:rsidRDefault="006B79DC" w:rsidP="005F2FC7">
      <w:pPr>
        <w:pStyle w:val="Tekstprzypisudolnego"/>
        <w:jc w:val="both"/>
        <w:rPr>
          <w:rFonts w:ascii="Calibri" w:hAnsi="Calibri" w:cs="Calibri"/>
          <w:i/>
          <w:sz w:val="16"/>
          <w:szCs w:val="16"/>
        </w:rPr>
      </w:pPr>
      <w:r w:rsidRPr="00807A6F">
        <w:rPr>
          <w:rStyle w:val="Odwoanieprzypisudolnego"/>
          <w:rFonts w:ascii="Calibri" w:hAnsi="Calibri" w:cs="Calibri"/>
          <w:i/>
          <w:sz w:val="16"/>
          <w:szCs w:val="16"/>
        </w:rPr>
        <w:footnoteRef/>
      </w:r>
      <w:r w:rsidRPr="00807A6F">
        <w:rPr>
          <w:rFonts w:ascii="Calibri" w:hAnsi="Calibri" w:cs="Calibri"/>
          <w:i/>
          <w:sz w:val="16"/>
          <w:szCs w:val="16"/>
        </w:rPr>
        <w:t xml:space="preserve"> </w:t>
      </w:r>
      <w:r w:rsidRPr="00E2534F">
        <w:rPr>
          <w:rFonts w:ascii="Calibri" w:hAnsi="Calibri" w:cs="Calibri"/>
          <w:color w:val="404040"/>
          <w:sz w:val="16"/>
          <w:szCs w:val="16"/>
        </w:rPr>
        <w:t>Strategia na rzecz Odpowiedzialnego Rozwoju do roku 2020 (z perspektywą do 2030 r.) − Uchwała nr 8 Rady Ministrów z dnia 14 lutego 2017 r.</w:t>
      </w:r>
    </w:p>
  </w:footnote>
  <w:footnote w:id="12">
    <w:p w:rsidR="006B79DC" w:rsidRPr="00B1060F" w:rsidRDefault="006B79DC" w:rsidP="00D113CA">
      <w:pPr>
        <w:pStyle w:val="Tekstprzypisudolnego"/>
        <w:jc w:val="both"/>
        <w:rPr>
          <w:rFonts w:asciiTheme="minorHAnsi" w:hAnsiTheme="minorHAnsi" w:cstheme="minorHAnsi"/>
          <w:color w:val="000000" w:themeColor="text1"/>
          <w:sz w:val="16"/>
          <w:szCs w:val="16"/>
        </w:rPr>
      </w:pPr>
      <w:r w:rsidRPr="00B1060F">
        <w:rPr>
          <w:rFonts w:asciiTheme="minorHAnsi" w:hAnsiTheme="minorHAnsi" w:cstheme="minorHAnsi"/>
          <w:color w:val="000000" w:themeColor="text1"/>
          <w:sz w:val="16"/>
          <w:szCs w:val="16"/>
          <w:vertAlign w:val="superscript"/>
        </w:rPr>
        <w:footnoteRef/>
      </w:r>
      <w:r w:rsidRPr="00B1060F">
        <w:rPr>
          <w:rFonts w:asciiTheme="minorHAnsi" w:hAnsiTheme="minorHAnsi" w:cstheme="minorHAnsi"/>
          <w:color w:val="000000" w:themeColor="text1"/>
          <w:sz w:val="16"/>
          <w:szCs w:val="16"/>
          <w:vertAlign w:val="superscript"/>
        </w:rPr>
        <w:t xml:space="preserve"> </w:t>
      </w:r>
      <w:r w:rsidRPr="00B1060F">
        <w:rPr>
          <w:rFonts w:asciiTheme="minorHAnsi" w:hAnsiTheme="minorHAnsi" w:cstheme="minorHAnsi"/>
          <w:color w:val="000000" w:themeColor="text1"/>
          <w:sz w:val="16"/>
          <w:szCs w:val="16"/>
        </w:rPr>
        <w:t>Urząd Transportu Kolejowego.</w:t>
      </w:r>
    </w:p>
    <w:p w:rsidR="006B79DC" w:rsidRPr="004746B2" w:rsidRDefault="006B79DC" w:rsidP="005F2FC7">
      <w:pPr>
        <w:pStyle w:val="Tekstprzypisudolnego"/>
        <w:jc w:val="both"/>
        <w:rPr>
          <w:rFonts w:ascii="Calibri" w:hAnsi="Calibri" w:cs="Calibri"/>
          <w:sz w:val="16"/>
          <w:szCs w:val="16"/>
        </w:rPr>
      </w:pPr>
      <w:r w:rsidRPr="00B1060F">
        <w:rPr>
          <w:rFonts w:asciiTheme="minorHAnsi" w:hAnsiTheme="minorHAnsi" w:cstheme="minorHAnsi"/>
          <w:color w:val="000000" w:themeColor="text1"/>
          <w:sz w:val="16"/>
          <w:szCs w:val="16"/>
          <w:vertAlign w:val="superscript"/>
        </w:rPr>
        <w:t xml:space="preserve">7 </w:t>
      </w:r>
      <w:r w:rsidRPr="00B1060F">
        <w:rPr>
          <w:rFonts w:asciiTheme="minorHAnsi" w:hAnsiTheme="minorHAnsi" w:cstheme="minorHAnsi"/>
          <w:color w:val="000000" w:themeColor="text1"/>
          <w:sz w:val="16"/>
          <w:szCs w:val="16"/>
        </w:rPr>
        <w:t>Szacunkowe dane dotyczące liczby obsługiwanych użytkowników końcowych pozyskiwane na podstawie ankiet od Operatorów Sieci Dostępowych, zawarty w raporcie rocznym z działalności Operatora Infrastruktury firmy DSS Operator S.A.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95273F" w:rsidRDefault="006B79DC" w:rsidP="0095273F">
    <w:pPr>
      <w:pStyle w:val="Nagwek"/>
    </w:pPr>
    <w:r w:rsidRPr="008C41B7">
      <w:rPr>
        <w:rFonts w:ascii="Century Gothic" w:hAnsi="Century Gothic"/>
        <w:color w:val="A6A6A6"/>
        <w:sz w:val="16"/>
        <w:szCs w:val="16"/>
      </w:rPr>
      <w:t xml:space="preserve">STRATEGIA ROZWOJU WOJEWÓDZTWA DOLNOŚLĄSKIEGO 2030 </w:t>
    </w:r>
    <w:r w:rsidRPr="0095273F">
      <w:rPr>
        <w:rFonts w:ascii="Century Gothic" w:hAnsi="Century Gothic"/>
        <w:color w:val="A6A6A6"/>
        <w:sz w:val="16"/>
        <w:szCs w:val="16"/>
      </w:rPr>
      <w:t xml:space="preserve">– </w:t>
    </w:r>
    <w:r>
      <w:rPr>
        <w:rFonts w:ascii="Century Gothic" w:hAnsi="Century Gothic"/>
        <w:color w:val="C00000"/>
        <w:sz w:val="16"/>
        <w:szCs w:val="16"/>
      </w:rPr>
      <w:t>PROJEKT</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3E3CAA" w:rsidRDefault="006B79DC" w:rsidP="003E3CAA">
    <w:pPr>
      <w:pStyle w:val="Nagwek"/>
    </w:pPr>
    <w:r w:rsidRPr="008C41B7">
      <w:rPr>
        <w:rFonts w:ascii="Century Gothic" w:hAnsi="Century Gothic"/>
        <w:color w:val="A6A6A6"/>
        <w:sz w:val="16"/>
        <w:szCs w:val="16"/>
      </w:rPr>
      <w:t xml:space="preserve">STRATEGIA ROZWOJU WOJEWÓDZTWA DOLNOŚLĄSKIEGO 2030 – </w:t>
    </w:r>
    <w:r w:rsidRPr="008C41B7">
      <w:rPr>
        <w:rFonts w:ascii="Century Gothic" w:hAnsi="Century Gothic"/>
        <w:color w:val="C00000"/>
        <w:sz w:val="16"/>
        <w:szCs w:val="16"/>
      </w:rPr>
      <w:t>PROJEKT z dnia 29.11.2017</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5B452D" w:rsidRDefault="006B79DC" w:rsidP="005B452D">
    <w:pPr>
      <w:pStyle w:val="Nagwek"/>
    </w:pPr>
    <w:r w:rsidRPr="008C41B7">
      <w:rPr>
        <w:rFonts w:ascii="Century Gothic" w:hAnsi="Century Gothic"/>
        <w:color w:val="A6A6A6"/>
        <w:sz w:val="16"/>
        <w:szCs w:val="16"/>
      </w:rPr>
      <w:t xml:space="preserve">STRATEGIA ROZWOJU WOJEWÓDZTWA DOLNOŚLĄSKIEGO 2030 – </w:t>
    </w:r>
    <w:r>
      <w:rPr>
        <w:rFonts w:ascii="Century Gothic" w:hAnsi="Century Gothic"/>
        <w:color w:val="C00000"/>
        <w:sz w:val="16"/>
        <w:szCs w:val="16"/>
      </w:rPr>
      <w:t>PROJEKT</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D57705" w:rsidRDefault="006B79DC" w:rsidP="00D57705">
    <w:pPr>
      <w:pStyle w:val="Nagwek"/>
    </w:pPr>
    <w:r>
      <w:rPr>
        <w:rFonts w:ascii="Century Gothic" w:hAnsi="Century Gothic"/>
        <w:color w:val="A6A6A6"/>
        <w:sz w:val="16"/>
        <w:szCs w:val="16"/>
      </w:rPr>
      <w:t xml:space="preserve">PROJEKT </w:t>
    </w:r>
    <w:r w:rsidRPr="008C41B7">
      <w:rPr>
        <w:rFonts w:ascii="Century Gothic" w:hAnsi="Century Gothic"/>
        <w:color w:val="A6A6A6"/>
        <w:sz w:val="16"/>
        <w:szCs w:val="16"/>
      </w:rPr>
      <w:t>STRATEGI</w:t>
    </w:r>
    <w:r>
      <w:rPr>
        <w:rFonts w:ascii="Century Gothic" w:hAnsi="Century Gothic"/>
        <w:color w:val="A6A6A6"/>
        <w:sz w:val="16"/>
        <w:szCs w:val="16"/>
      </w:rPr>
      <w:t>I</w:t>
    </w:r>
    <w:r w:rsidRPr="008C41B7">
      <w:rPr>
        <w:rFonts w:ascii="Century Gothic" w:hAnsi="Century Gothic"/>
        <w:color w:val="A6A6A6"/>
        <w:sz w:val="16"/>
        <w:szCs w:val="16"/>
      </w:rPr>
      <w:t xml:space="preserve"> ROZWOJU WOJEWÓDZTWA DOLNOŚLĄSKIEGO 2030 – </w:t>
    </w:r>
    <w:r>
      <w:rPr>
        <w:rFonts w:ascii="Century Gothic" w:hAnsi="Century Gothic"/>
        <w:color w:val="C00000"/>
        <w:sz w:val="16"/>
        <w:szCs w:val="16"/>
      </w:rPr>
      <w:t>PROJEKT</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6B79DC" w:rsidP="00926292">
    <w:pPr>
      <w:pStyle w:val="Nagwek"/>
    </w:pPr>
    <w:r w:rsidRPr="008C41B7">
      <w:rPr>
        <w:rFonts w:ascii="Century Gothic" w:hAnsi="Century Gothic"/>
        <w:color w:val="A6A6A6"/>
        <w:sz w:val="16"/>
        <w:szCs w:val="16"/>
      </w:rPr>
      <w:t xml:space="preserve">STRATEGIA ROZWOJU WOJEWÓDZTWA DOLNOŚLĄSKIEGO 2030 </w:t>
    </w:r>
    <w:r w:rsidRPr="0095273F">
      <w:rPr>
        <w:rFonts w:ascii="Century Gothic" w:hAnsi="Century Gothic"/>
        <w:color w:val="A6A6A6"/>
        <w:sz w:val="16"/>
        <w:szCs w:val="16"/>
      </w:rPr>
      <w:t xml:space="preserve">– </w:t>
    </w:r>
    <w:r>
      <w:rPr>
        <w:rFonts w:ascii="Century Gothic" w:hAnsi="Century Gothic"/>
        <w:color w:val="C00000"/>
        <w:sz w:val="16"/>
        <w:szCs w:val="16"/>
      </w:rPr>
      <w:t>PROJEKT</w:t>
    </w:r>
  </w:p>
  <w:p w:rsidR="006B79DC" w:rsidRPr="007004EF" w:rsidRDefault="006B79DC" w:rsidP="00926292">
    <w:pPr>
      <w:pStyle w:val="Nagwek"/>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6B79DC" w:rsidP="000C6BE4">
    <w:pPr>
      <w:pStyle w:val="Nagwek"/>
      <w:jc w:val="right"/>
      <w:rPr>
        <w:rFonts w:ascii="Myriad Pro" w:hAnsi="Myriad Pro"/>
        <w:b/>
        <w:color w:val="404040"/>
        <w:spacing w:val="20"/>
        <w:sz w:val="18"/>
        <w:szCs w:val="18"/>
      </w:rPr>
    </w:pPr>
    <w:r>
      <w:rPr>
        <w:rFonts w:ascii="Myriad Pro" w:hAnsi="Myriad Pro"/>
        <w:b/>
        <w:noProof/>
        <w:color w:val="404040"/>
        <w:spacing w:val="20"/>
        <w:sz w:val="18"/>
        <w:szCs w:val="18"/>
        <w:lang w:eastAsia="pl-PL"/>
      </w:rPr>
      <w:drawing>
        <wp:anchor distT="0" distB="0" distL="114300" distR="114300" simplePos="0" relativeHeight="251659776" behindDoc="0" locked="0" layoutInCell="1" allowOverlap="1">
          <wp:simplePos x="0" y="0"/>
          <wp:positionH relativeFrom="column">
            <wp:posOffset>10795</wp:posOffset>
          </wp:positionH>
          <wp:positionV relativeFrom="paragraph">
            <wp:posOffset>-133985</wp:posOffset>
          </wp:positionV>
          <wp:extent cx="443230" cy="430530"/>
          <wp:effectExtent l="19050" t="0" r="0" b="0"/>
          <wp:wrapSquare wrapText="bothSides"/>
          <wp:docPr id="6" name="Obraz 4" descr="WBU-logotyplogo logo kwadr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WBU-logotyplogo logo kwadrat.png"/>
                  <pic:cNvPicPr>
                    <a:picLocks noChangeAspect="1" noChangeArrowheads="1"/>
                  </pic:cNvPicPr>
                </pic:nvPicPr>
                <pic:blipFill>
                  <a:blip r:embed="rId1"/>
                  <a:srcRect/>
                  <a:stretch>
                    <a:fillRect/>
                  </a:stretch>
                </pic:blipFill>
                <pic:spPr bwMode="auto">
                  <a:xfrm>
                    <a:off x="0" y="0"/>
                    <a:ext cx="443230" cy="430530"/>
                  </a:xfrm>
                  <a:prstGeom prst="rect">
                    <a:avLst/>
                  </a:prstGeom>
                  <a:noFill/>
                  <a:ln w="9525">
                    <a:noFill/>
                    <a:miter lim="800000"/>
                    <a:headEnd/>
                    <a:tailEnd/>
                  </a:ln>
                </pic:spPr>
              </pic:pic>
            </a:graphicData>
          </a:graphic>
        </wp:anchor>
      </w:drawing>
    </w:r>
  </w:p>
  <w:p w:rsidR="006B79DC" w:rsidRDefault="00E6670D" w:rsidP="000C6BE4">
    <w:pPr>
      <w:pStyle w:val="Nagwek"/>
      <w:jc w:val="right"/>
      <w:rPr>
        <w:color w:val="404040"/>
        <w:spacing w:val="20"/>
        <w:sz w:val="17"/>
        <w:szCs w:val="17"/>
      </w:rPr>
    </w:pPr>
    <w:r w:rsidRPr="00E6670D">
      <w:rPr>
        <w:noProof/>
        <w:sz w:val="17"/>
        <w:szCs w:val="17"/>
        <w:lang w:eastAsia="pl-PL"/>
      </w:rPr>
      <w:pict>
        <v:shapetype id="_x0000_t32" coordsize="21600,21600" o:spt="32" o:oned="t" path="m,l21600,21600e" filled="f">
          <v:path arrowok="t" fillok="f" o:connecttype="none"/>
          <o:lock v:ext="edit" shapetype="t"/>
        </v:shapetype>
        <v:shape id="Łącznik prosty ze strzałką 55" o:spid="_x0000_s4097" type="#_x0000_t32" style="position:absolute;left:0;text-align:left;margin-left:1pt;margin-top:16.85pt;width:466.9pt;height:0;z-index:251658752;visibility:visible;mso-wrap-distance-top:-1e-4mm;mso-wrap-distance-bottom:-1e-4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" strokecolor="#272727" strokeweight=".25pt"/>
      </w:pict>
    </w:r>
    <w:r w:rsidR="006B79DC">
      <w:rPr>
        <w:color w:val="404040"/>
        <w:spacing w:val="20"/>
        <w:sz w:val="17"/>
        <w:szCs w:val="17"/>
      </w:rPr>
      <w:t>DIAGNOZA PROSPEKTYWNA</w:t>
    </w:r>
  </w:p>
  <w:p w:rsidR="006B79DC" w:rsidRPr="00860FAC" w:rsidRDefault="006B79DC" w:rsidP="000C6BE4">
    <w:pPr>
      <w:pStyle w:val="Nagwek"/>
      <w:rPr>
        <w:color w:val="404040"/>
        <w:spacing w:val="20"/>
        <w:sz w:val="17"/>
        <w:szCs w:val="17"/>
      </w:rPr>
    </w:pPr>
  </w:p>
  <w:p w:rsidR="006B79DC" w:rsidRDefault="006B79DC" w:rsidP="000C6BE4">
    <w:pPr>
      <w:pStyle w:val="Nagwek"/>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95273F" w:rsidRDefault="006B79DC" w:rsidP="0095273F">
    <w:pPr>
      <w:pStyle w:val="Nagwek"/>
    </w:pPr>
    <w:r w:rsidRPr="008C41B7">
      <w:rPr>
        <w:rFonts w:ascii="Century Gothic" w:hAnsi="Century Gothic"/>
        <w:color w:val="A6A6A6"/>
        <w:sz w:val="16"/>
        <w:szCs w:val="16"/>
      </w:rPr>
      <w:t xml:space="preserve">STRATEGIA ROZWOJU WOJEWÓDZTWA DOLNOŚLĄSKIEGO 2030 </w:t>
    </w:r>
    <w:r w:rsidRPr="0095273F">
      <w:rPr>
        <w:rFonts w:ascii="Century Gothic" w:hAnsi="Century Gothic"/>
        <w:color w:val="A6A6A6"/>
        <w:sz w:val="16"/>
        <w:szCs w:val="16"/>
      </w:rPr>
      <w:t xml:space="preserve">– </w:t>
    </w:r>
    <w:r>
      <w:rPr>
        <w:rFonts w:ascii="Century Gothic" w:hAnsi="Century Gothic"/>
        <w:color w:val="C00000"/>
        <w:sz w:val="16"/>
        <w:szCs w:val="16"/>
      </w:rPr>
      <w:t>PROJEKT</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60611E" w:rsidRDefault="006B79DC" w:rsidP="0060611E">
    <w:pPr>
      <w:pStyle w:val="Nagwek"/>
    </w:pPr>
    <w:r w:rsidRPr="008C41B7">
      <w:rPr>
        <w:rFonts w:ascii="Century Gothic" w:hAnsi="Century Gothic"/>
        <w:color w:val="A6A6A6"/>
        <w:sz w:val="16"/>
        <w:szCs w:val="16"/>
      </w:rPr>
      <w:t xml:space="preserve">STRATEGIA ROZWOJU WOJEWÓDZTWA DOLNOŚLĄSKIEGO 2030 </w:t>
    </w:r>
    <w:r w:rsidRPr="0095273F">
      <w:rPr>
        <w:rFonts w:ascii="Century Gothic" w:hAnsi="Century Gothic"/>
        <w:color w:val="A6A6A6"/>
        <w:sz w:val="16"/>
        <w:szCs w:val="16"/>
      </w:rPr>
      <w:t xml:space="preserve">– </w:t>
    </w:r>
    <w:r>
      <w:rPr>
        <w:rFonts w:ascii="Century Gothic" w:hAnsi="Century Gothic"/>
        <w:color w:val="C00000"/>
        <w:sz w:val="16"/>
        <w:szCs w:val="16"/>
      </w:rPr>
      <w:t>PROJEKT</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8C41B7" w:rsidRDefault="006B79DC">
    <w:pPr>
      <w:pStyle w:val="Nagwek"/>
      <w:rPr>
        <w:rFonts w:ascii="Century Gothic" w:hAnsi="Century Gothic"/>
        <w:color w:val="C00000"/>
        <w:sz w:val="16"/>
        <w:szCs w:val="16"/>
      </w:rPr>
    </w:pPr>
    <w:r w:rsidRPr="008C41B7">
      <w:rPr>
        <w:rFonts w:ascii="Century Gothic" w:hAnsi="Century Gothic"/>
        <w:color w:val="A6A6A6"/>
        <w:sz w:val="16"/>
        <w:szCs w:val="16"/>
      </w:rPr>
      <w:t xml:space="preserve">STRATEGIA ROZWOJU WOJEWÓDZTWA DOLNOŚLĄSKIEGO 2030 </w:t>
    </w:r>
    <w:r w:rsidRPr="0095273F">
      <w:rPr>
        <w:rFonts w:ascii="Century Gothic" w:hAnsi="Century Gothic"/>
        <w:color w:val="A6A6A6"/>
        <w:sz w:val="16"/>
        <w:szCs w:val="16"/>
      </w:rPr>
      <w:t xml:space="preserve">– </w:t>
    </w:r>
    <w:r>
      <w:rPr>
        <w:rFonts w:ascii="Century Gothic" w:hAnsi="Century Gothic"/>
        <w:color w:val="C00000"/>
        <w:sz w:val="16"/>
        <w:szCs w:val="16"/>
      </w:rPr>
      <w:t>PROJEKT</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F37401" w:rsidRDefault="006B79DC">
    <w:pPr>
      <w:pStyle w:val="Nagwek"/>
      <w:rPr>
        <w:rFonts w:ascii="Century Gothic" w:hAnsi="Century Gothic" w:cs="Calibri"/>
        <w:color w:val="808080"/>
        <w:sz w:val="18"/>
        <w:szCs w:val="18"/>
      </w:rPr>
    </w:pPr>
    <w:r w:rsidRPr="008C41B7">
      <w:rPr>
        <w:rFonts w:ascii="Century Gothic" w:hAnsi="Century Gothic"/>
        <w:color w:val="A6A6A6"/>
        <w:sz w:val="16"/>
        <w:szCs w:val="16"/>
      </w:rPr>
      <w:t xml:space="preserve">STRATEGIA ROZWOJU WOJEWÓDZTWA DOLNOŚLĄSKIEGO 2030 </w:t>
    </w:r>
    <w:r w:rsidRPr="0095273F">
      <w:rPr>
        <w:rFonts w:ascii="Century Gothic" w:hAnsi="Century Gothic"/>
        <w:color w:val="A6A6A6"/>
        <w:sz w:val="16"/>
        <w:szCs w:val="16"/>
      </w:rPr>
      <w:t xml:space="preserve">– </w:t>
    </w:r>
    <w:r>
      <w:rPr>
        <w:rFonts w:ascii="Century Gothic" w:hAnsi="Century Gothic"/>
        <w:color w:val="C00000"/>
        <w:sz w:val="16"/>
        <w:szCs w:val="16"/>
      </w:rPr>
      <w:t>PROJEKT</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95273F" w:rsidRDefault="006B79DC" w:rsidP="0095273F">
    <w:pPr>
      <w:pStyle w:val="Nagwek"/>
    </w:pPr>
    <w:r w:rsidRPr="008C41B7">
      <w:rPr>
        <w:rFonts w:ascii="Century Gothic" w:hAnsi="Century Gothic"/>
        <w:color w:val="A6A6A6"/>
        <w:sz w:val="16"/>
        <w:szCs w:val="16"/>
      </w:rPr>
      <w:t xml:space="preserve">STRATEGIA ROZWOJU WOJEWÓDZTWA DOLNOŚLĄSKIEGO 2030 </w:t>
    </w:r>
    <w:r w:rsidRPr="0095273F">
      <w:rPr>
        <w:rFonts w:ascii="Century Gothic" w:hAnsi="Century Gothic"/>
        <w:color w:val="A6A6A6"/>
        <w:sz w:val="16"/>
        <w:szCs w:val="16"/>
      </w:rPr>
      <w:t xml:space="preserve">– </w:t>
    </w:r>
    <w:r w:rsidRPr="0095273F">
      <w:rPr>
        <w:rFonts w:ascii="Century Gothic" w:hAnsi="Century Gothic"/>
        <w:color w:val="C00000"/>
        <w:sz w:val="16"/>
        <w:szCs w:val="16"/>
      </w:rPr>
      <w:t>wersja robocza z dnia 2</w:t>
    </w:r>
    <w:r>
      <w:rPr>
        <w:rFonts w:ascii="Century Gothic" w:hAnsi="Century Gothic"/>
        <w:color w:val="C00000"/>
        <w:sz w:val="16"/>
        <w:szCs w:val="16"/>
      </w:rPr>
      <w:t>5</w:t>
    </w:r>
    <w:r w:rsidRPr="0095273F">
      <w:rPr>
        <w:rFonts w:ascii="Century Gothic" w:hAnsi="Century Gothic"/>
        <w:color w:val="C00000"/>
        <w:sz w:val="16"/>
        <w:szCs w:val="16"/>
      </w:rPr>
      <w:t>.01.2018</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F37401" w:rsidRDefault="006B79DC" w:rsidP="00A8645C">
    <w:pPr>
      <w:pStyle w:val="Nagwek"/>
      <w:rPr>
        <w:rFonts w:ascii="Century Gothic" w:hAnsi="Century Gothic" w:cs="Calibri"/>
        <w:color w:val="808080"/>
        <w:sz w:val="18"/>
        <w:szCs w:val="18"/>
      </w:rPr>
    </w:pPr>
    <w:r w:rsidRPr="008C41B7">
      <w:rPr>
        <w:rFonts w:ascii="Century Gothic" w:hAnsi="Century Gothic"/>
        <w:color w:val="A6A6A6"/>
        <w:sz w:val="16"/>
        <w:szCs w:val="16"/>
      </w:rPr>
      <w:t xml:space="preserve">STRATEGIA ROZWOJU WOJEWÓDZTWA DOLNOŚLĄSKIEGO 2030 </w:t>
    </w:r>
    <w:r w:rsidRPr="0095273F">
      <w:rPr>
        <w:rFonts w:ascii="Century Gothic" w:hAnsi="Century Gothic"/>
        <w:color w:val="A6A6A6"/>
        <w:sz w:val="16"/>
        <w:szCs w:val="16"/>
      </w:rPr>
      <w:t xml:space="preserve">– </w:t>
    </w:r>
    <w:r>
      <w:rPr>
        <w:rFonts w:ascii="Century Gothic" w:hAnsi="Century Gothic"/>
        <w:color w:val="C00000"/>
        <w:sz w:val="16"/>
        <w:szCs w:val="16"/>
      </w:rPr>
      <w:t>PROJEKT</w:t>
    </w:r>
  </w:p>
  <w:p w:rsidR="006B79DC" w:rsidRDefault="006B79DC" w:rsidP="000C6BE4">
    <w:pPr>
      <w:pStyle w:val="Nagwek"/>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95273F" w:rsidRDefault="006B79DC" w:rsidP="0095273F">
    <w:pPr>
      <w:pStyle w:val="Nagwek"/>
    </w:pPr>
    <w:r w:rsidRPr="008C41B7">
      <w:rPr>
        <w:rFonts w:ascii="Century Gothic" w:hAnsi="Century Gothic"/>
        <w:color w:val="A6A6A6"/>
        <w:sz w:val="16"/>
        <w:szCs w:val="16"/>
      </w:rPr>
      <w:t xml:space="preserve">STRATEGIA ROZWOJU WOJEWÓDZTWA DOLNOŚLĄSKIEGO 2030 </w:t>
    </w:r>
    <w:r w:rsidRPr="0095273F">
      <w:rPr>
        <w:rFonts w:ascii="Century Gothic" w:hAnsi="Century Gothic"/>
        <w:color w:val="A6A6A6"/>
        <w:sz w:val="16"/>
        <w:szCs w:val="16"/>
      </w:rPr>
      <w:t xml:space="preserve">– </w:t>
    </w:r>
    <w:r>
      <w:rPr>
        <w:rFonts w:ascii="Century Gothic" w:hAnsi="Century Gothic"/>
        <w:color w:val="C00000"/>
        <w:sz w:val="16"/>
        <w:szCs w:val="16"/>
      </w:rPr>
      <w:t>PROJEKT</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95273F" w:rsidRDefault="006B79DC" w:rsidP="0095273F">
    <w:pPr>
      <w:pStyle w:val="Nagwek"/>
    </w:pPr>
    <w:r w:rsidRPr="008C41B7">
      <w:rPr>
        <w:rFonts w:ascii="Century Gothic" w:hAnsi="Century Gothic"/>
        <w:color w:val="A6A6A6"/>
        <w:sz w:val="16"/>
        <w:szCs w:val="16"/>
      </w:rPr>
      <w:t xml:space="preserve">STRATEGIA ROZWOJU WOJEWÓDZTWA DOLNOŚLĄSKIEGO 2030 </w:t>
    </w:r>
    <w:r w:rsidRPr="0095273F">
      <w:rPr>
        <w:rFonts w:ascii="Century Gothic" w:hAnsi="Century Gothic"/>
        <w:color w:val="A6A6A6"/>
        <w:sz w:val="16"/>
        <w:szCs w:val="16"/>
      </w:rPr>
      <w:t xml:space="preserve">– </w:t>
    </w:r>
    <w:r>
      <w:rPr>
        <w:rFonts w:ascii="Century Gothic" w:hAnsi="Century Gothic"/>
        <w:color w:val="C00000"/>
        <w:sz w:val="16"/>
        <w:szCs w:val="16"/>
      </w:rPr>
      <w:t>PROJEKT</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Default="006B79DC" w:rsidP="000C6BE4">
    <w:pPr>
      <w:pStyle w:val="Nagwek"/>
      <w:jc w:val="right"/>
      <w:rPr>
        <w:rFonts w:ascii="Myriad Pro" w:hAnsi="Myriad Pro"/>
        <w:b/>
        <w:color w:val="404040"/>
        <w:spacing w:val="20"/>
        <w:sz w:val="18"/>
        <w:szCs w:val="18"/>
      </w:rPr>
    </w:pPr>
    <w:r>
      <w:rPr>
        <w:rFonts w:ascii="Myriad Pro" w:hAnsi="Myriad Pro"/>
        <w:b/>
        <w:noProof/>
        <w:color w:val="404040"/>
        <w:spacing w:val="20"/>
        <w:sz w:val="18"/>
        <w:szCs w:val="18"/>
        <w:lang w:eastAsia="pl-PL"/>
      </w:rPr>
      <w:drawing>
        <wp:anchor distT="0" distB="0" distL="114300" distR="114300" simplePos="0" relativeHeight="251657728" behindDoc="0" locked="0" layoutInCell="1" allowOverlap="1">
          <wp:simplePos x="0" y="0"/>
          <wp:positionH relativeFrom="column">
            <wp:posOffset>10795</wp:posOffset>
          </wp:positionH>
          <wp:positionV relativeFrom="paragraph">
            <wp:posOffset>-133985</wp:posOffset>
          </wp:positionV>
          <wp:extent cx="443230" cy="430530"/>
          <wp:effectExtent l="19050" t="0" r="0" b="0"/>
          <wp:wrapSquare wrapText="bothSides"/>
          <wp:docPr id="4" name="Obraz 4" descr="WBU-logotyplogo logo kwadr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WBU-logotyplogo logo kwadrat.png"/>
                  <pic:cNvPicPr>
                    <a:picLocks noChangeAspect="1" noChangeArrowheads="1"/>
                  </pic:cNvPicPr>
                </pic:nvPicPr>
                <pic:blipFill>
                  <a:blip r:embed="rId1"/>
                  <a:srcRect/>
                  <a:stretch>
                    <a:fillRect/>
                  </a:stretch>
                </pic:blipFill>
                <pic:spPr bwMode="auto">
                  <a:xfrm>
                    <a:off x="0" y="0"/>
                    <a:ext cx="443230" cy="430530"/>
                  </a:xfrm>
                  <a:prstGeom prst="rect">
                    <a:avLst/>
                  </a:prstGeom>
                  <a:noFill/>
                  <a:ln w="9525">
                    <a:noFill/>
                    <a:miter lim="800000"/>
                    <a:headEnd/>
                    <a:tailEnd/>
                  </a:ln>
                </pic:spPr>
              </pic:pic>
            </a:graphicData>
          </a:graphic>
        </wp:anchor>
      </w:drawing>
    </w:r>
  </w:p>
  <w:p w:rsidR="006B79DC" w:rsidRDefault="00E6670D" w:rsidP="000C6BE4">
    <w:pPr>
      <w:pStyle w:val="Nagwek"/>
      <w:jc w:val="right"/>
      <w:rPr>
        <w:color w:val="404040"/>
        <w:spacing w:val="20"/>
        <w:sz w:val="17"/>
        <w:szCs w:val="17"/>
      </w:rPr>
    </w:pPr>
    <w:r w:rsidRPr="00E6670D">
      <w:rPr>
        <w:noProof/>
        <w:sz w:val="17"/>
        <w:szCs w:val="17"/>
        <w:lang w:eastAsia="pl-PL"/>
      </w:rPr>
      <w:pict>
        <v:shapetype id="_x0000_t32" coordsize="21600,21600" o:spt="32" o:oned="t" path="m,l21600,21600e" filled="f">
          <v:path arrowok="t" fillok="f" o:connecttype="none"/>
          <o:lock v:ext="edit" shapetype="t"/>
        </v:shapetype>
        <v:shape id="Łącznik prosty ze strzałką 3076" o:spid="_x0000_s4098" type="#_x0000_t32" style="position:absolute;left:0;text-align:left;margin-left:1pt;margin-top:16.85pt;width:466.9pt;height:0;z-index:251656704;visibility:visible;mso-wrap-distance-top:-1e-4mm;mso-wrap-distance-bottom:-1e-4mm;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" strokecolor="#272727" strokeweight=".25pt"/>
      </w:pict>
    </w:r>
    <w:r w:rsidR="006B79DC">
      <w:rPr>
        <w:color w:val="404040"/>
        <w:spacing w:val="20"/>
        <w:sz w:val="17"/>
        <w:szCs w:val="17"/>
      </w:rPr>
      <w:t>DIAGNOZA PROSPEKTYWNA</w:t>
    </w:r>
  </w:p>
  <w:p w:rsidR="006B79DC" w:rsidRPr="00860FAC" w:rsidRDefault="006B79DC" w:rsidP="000C6BE4">
    <w:pPr>
      <w:pStyle w:val="Nagwek"/>
      <w:rPr>
        <w:color w:val="404040"/>
        <w:spacing w:val="20"/>
        <w:sz w:val="17"/>
        <w:szCs w:val="17"/>
      </w:rPr>
    </w:pPr>
  </w:p>
  <w:p w:rsidR="006B79DC" w:rsidRDefault="006B79DC" w:rsidP="000C6BE4">
    <w:pPr>
      <w:pStyle w:val="Nagwek"/>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79DC" w:rsidRPr="0095273F" w:rsidRDefault="006B79DC" w:rsidP="0095273F">
    <w:pPr>
      <w:pStyle w:val="Nagwek"/>
    </w:pPr>
    <w:r w:rsidRPr="008C41B7">
      <w:rPr>
        <w:rFonts w:ascii="Century Gothic" w:hAnsi="Century Gothic"/>
        <w:color w:val="A6A6A6"/>
        <w:sz w:val="16"/>
        <w:szCs w:val="16"/>
      </w:rPr>
      <w:t xml:space="preserve">STRATEGIA ROZWOJU WOJEWÓDZTWA DOLNOŚLĄSKIEGO 2030 </w:t>
    </w:r>
    <w:r w:rsidRPr="0095273F">
      <w:rPr>
        <w:rFonts w:ascii="Century Gothic" w:hAnsi="Century Gothic"/>
        <w:color w:val="A6A6A6"/>
        <w:sz w:val="16"/>
        <w:szCs w:val="16"/>
      </w:rPr>
      <w:t xml:space="preserve">– </w:t>
    </w:r>
    <w:r>
      <w:rPr>
        <w:rFonts w:ascii="Century Gothic" w:hAnsi="Century Gothic"/>
        <w:color w:val="C00000"/>
        <w:sz w:val="16"/>
        <w:szCs w:val="16"/>
      </w:rPr>
      <w:t>PROJEKT</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D2072D"/>
    <w:multiLevelType w:val="multilevel"/>
    <w:tmpl w:val="229E6280"/>
    <w:lvl w:ilvl="0">
      <w:start w:val="1"/>
      <w:numFmt w:val="bullet"/>
      <w:pStyle w:val="WBUpunktowanie"/>
      <w:lvlText w:val=""/>
      <w:lvlJc w:val="left"/>
      <w:pPr>
        <w:tabs>
          <w:tab w:val="num" w:pos="170"/>
        </w:tabs>
        <w:ind w:left="170" w:hanging="170"/>
      </w:pPr>
      <w:rPr>
        <w:rFonts w:ascii="Wingdings" w:hAnsi="Wingdings" w:hint="default"/>
        <w:color w:val="993300"/>
        <w:sz w:val="20"/>
        <w:szCs w:val="20"/>
      </w:rPr>
    </w:lvl>
    <w:lvl w:ilvl="1">
      <w:start w:val="1"/>
      <w:numFmt w:val="bullet"/>
      <w:lvlText w:val="–"/>
      <w:lvlJc w:val="left"/>
      <w:pPr>
        <w:tabs>
          <w:tab w:val="num" w:pos="720"/>
        </w:tabs>
        <w:ind w:left="720" w:hanging="360"/>
      </w:pPr>
      <w:rPr>
        <w:rFonts w:ascii="Arial Narrow" w:hAnsi="Arial Narrow" w:hint="default"/>
        <w:color w:val="auto"/>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
    <w:nsid w:val="063600BD"/>
    <w:multiLevelType w:val="hybridMultilevel"/>
    <w:tmpl w:val="E11CA41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9523882"/>
    <w:multiLevelType w:val="hybridMultilevel"/>
    <w:tmpl w:val="A38A873A"/>
    <w:lvl w:ilvl="0" w:tplc="160060B0">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BFD187B"/>
    <w:multiLevelType w:val="hybridMultilevel"/>
    <w:tmpl w:val="A7E80FFE"/>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C0B30B3"/>
    <w:multiLevelType w:val="hybridMultilevel"/>
    <w:tmpl w:val="18FE4E50"/>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D5D5CF4"/>
    <w:multiLevelType w:val="multilevel"/>
    <w:tmpl w:val="947CEA54"/>
    <w:lvl w:ilvl="0">
      <w:start w:val="1"/>
      <w:numFmt w:val="decimal"/>
      <w:lvlText w:val="%1."/>
      <w:lvlJc w:val="left"/>
      <w:pPr>
        <w:ind w:left="390" w:hanging="390"/>
      </w:pPr>
      <w:rPr>
        <w:rFonts w:hint="default"/>
      </w:rPr>
    </w:lvl>
    <w:lvl w:ilvl="1">
      <w:start w:val="1"/>
      <w:numFmt w:val="decimal"/>
      <w:lvlText w:val="%1.%2."/>
      <w:lvlJc w:val="left"/>
      <w:pPr>
        <w:ind w:left="355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0E8B291A"/>
    <w:multiLevelType w:val="hybridMultilevel"/>
    <w:tmpl w:val="114E583A"/>
    <w:lvl w:ilvl="0" w:tplc="4FE21610">
      <w:start w:val="1"/>
      <w:numFmt w:val="bullet"/>
      <w:lvlText w:val="–"/>
      <w:lvlJc w:val="left"/>
      <w:pPr>
        <w:ind w:left="750" w:hanging="360"/>
      </w:pPr>
      <w:rPr>
        <w:rFonts w:ascii="Calibri" w:hAnsi="Calibri"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7">
    <w:nsid w:val="0FFC6F55"/>
    <w:multiLevelType w:val="hybridMultilevel"/>
    <w:tmpl w:val="C314596E"/>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05D05E9"/>
    <w:multiLevelType w:val="hybridMultilevel"/>
    <w:tmpl w:val="DBF8636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286631A"/>
    <w:multiLevelType w:val="hybridMultilevel"/>
    <w:tmpl w:val="49000D50"/>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3A60E28"/>
    <w:multiLevelType w:val="hybridMultilevel"/>
    <w:tmpl w:val="AEE065BE"/>
    <w:lvl w:ilvl="0" w:tplc="A4FCF730">
      <w:start w:val="1"/>
      <w:numFmt w:val="bullet"/>
      <w:lvlText w:val="-"/>
      <w:lvlJc w:val="left"/>
      <w:pPr>
        <w:ind w:left="720" w:hanging="360"/>
      </w:pPr>
      <w:rPr>
        <w:rFonts w:ascii="Verdana" w:hAnsi="Verdana"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4A65D3C"/>
    <w:multiLevelType w:val="multilevel"/>
    <w:tmpl w:val="309A09DE"/>
    <w:lvl w:ilvl="0">
      <w:start w:val="3"/>
      <w:numFmt w:val="decimal"/>
      <w:lvlText w:val="%1."/>
      <w:lvlJc w:val="left"/>
      <w:pPr>
        <w:ind w:left="360" w:hanging="360"/>
      </w:pPr>
      <w:rPr>
        <w:rFonts w:hint="default"/>
      </w:rPr>
    </w:lvl>
    <w:lvl w:ilvl="1">
      <w:start w:val="1"/>
      <w:numFmt w:val="decimal"/>
      <w:lvlText w:val="%1.%2."/>
      <w:lvlJc w:val="left"/>
      <w:pPr>
        <w:ind w:left="360" w:hanging="360"/>
      </w:pPr>
      <w:rPr>
        <w:rFonts w:ascii="Century Gothic" w:hAnsi="Century Gothic" w:hint="default"/>
        <w:b/>
        <w:color w:val="000000"/>
        <w:sz w:val="14"/>
        <w:szCs w:val="14"/>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12">
    <w:nsid w:val="168C368F"/>
    <w:multiLevelType w:val="hybridMultilevel"/>
    <w:tmpl w:val="A676964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1768263E"/>
    <w:multiLevelType w:val="hybridMultilevel"/>
    <w:tmpl w:val="BFCA5E2C"/>
    <w:lvl w:ilvl="0" w:tplc="CE6EE9DA">
      <w:start w:val="1"/>
      <w:numFmt w:val="bullet"/>
      <w:lvlText w:val="–"/>
      <w:lvlJc w:val="left"/>
      <w:pPr>
        <w:ind w:left="720" w:hanging="360"/>
      </w:pPr>
      <w:rPr>
        <w:rFonts w:ascii="Calibri" w:hAnsi="Calibri" w:hint="default"/>
        <w:color w:val="404040"/>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7F00885"/>
    <w:multiLevelType w:val="multilevel"/>
    <w:tmpl w:val="0C94D4B8"/>
    <w:lvl w:ilvl="0">
      <w:start w:val="1"/>
      <w:numFmt w:val="decimal"/>
      <w:lvlText w:val="%1."/>
      <w:lvlJc w:val="left"/>
      <w:pPr>
        <w:ind w:left="644"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1156" w:hanging="720"/>
      </w:pPr>
      <w:rPr>
        <w:rFonts w:hint="default"/>
        <w:b w:val="0"/>
      </w:rPr>
    </w:lvl>
    <w:lvl w:ilvl="3">
      <w:start w:val="1"/>
      <w:numFmt w:val="decimal"/>
      <w:isLgl/>
      <w:lvlText w:val="%1.%2.%3.%4."/>
      <w:lvlJc w:val="left"/>
      <w:pPr>
        <w:ind w:left="1232" w:hanging="720"/>
      </w:pPr>
      <w:rPr>
        <w:rFonts w:hint="default"/>
      </w:rPr>
    </w:lvl>
    <w:lvl w:ilvl="4">
      <w:start w:val="1"/>
      <w:numFmt w:val="decimal"/>
      <w:isLgl/>
      <w:lvlText w:val="%1.%2.%3.%4.%5."/>
      <w:lvlJc w:val="left"/>
      <w:pPr>
        <w:ind w:left="1668" w:hanging="1080"/>
      </w:pPr>
      <w:rPr>
        <w:rFonts w:hint="default"/>
      </w:rPr>
    </w:lvl>
    <w:lvl w:ilvl="5">
      <w:start w:val="1"/>
      <w:numFmt w:val="decimal"/>
      <w:isLgl/>
      <w:lvlText w:val="%1.%2.%3.%4.%5.%6."/>
      <w:lvlJc w:val="left"/>
      <w:pPr>
        <w:ind w:left="1744" w:hanging="1080"/>
      </w:pPr>
      <w:rPr>
        <w:rFonts w:hint="default"/>
      </w:rPr>
    </w:lvl>
    <w:lvl w:ilvl="6">
      <w:start w:val="1"/>
      <w:numFmt w:val="decimal"/>
      <w:isLgl/>
      <w:lvlText w:val="%1.%2.%3.%4.%5.%6.%7."/>
      <w:lvlJc w:val="left"/>
      <w:pPr>
        <w:ind w:left="2180" w:hanging="1440"/>
      </w:pPr>
      <w:rPr>
        <w:rFonts w:hint="default"/>
      </w:rPr>
    </w:lvl>
    <w:lvl w:ilvl="7">
      <w:start w:val="1"/>
      <w:numFmt w:val="decimal"/>
      <w:isLgl/>
      <w:lvlText w:val="%1.%2.%3.%4.%5.%6.%7.%8."/>
      <w:lvlJc w:val="left"/>
      <w:pPr>
        <w:ind w:left="2256" w:hanging="1440"/>
      </w:pPr>
      <w:rPr>
        <w:rFonts w:hint="default"/>
      </w:rPr>
    </w:lvl>
    <w:lvl w:ilvl="8">
      <w:start w:val="1"/>
      <w:numFmt w:val="decimal"/>
      <w:isLgl/>
      <w:lvlText w:val="%1.%2.%3.%4.%5.%6.%7.%8.%9."/>
      <w:lvlJc w:val="left"/>
      <w:pPr>
        <w:ind w:left="2692" w:hanging="1800"/>
      </w:pPr>
      <w:rPr>
        <w:rFonts w:hint="default"/>
      </w:rPr>
    </w:lvl>
  </w:abstractNum>
  <w:abstractNum w:abstractNumId="15">
    <w:nsid w:val="1E607E08"/>
    <w:multiLevelType w:val="hybridMultilevel"/>
    <w:tmpl w:val="AA089344"/>
    <w:lvl w:ilvl="0" w:tplc="160060B0">
      <w:start w:val="1"/>
      <w:numFmt w:val="bullet"/>
      <w:lvlText w:val=""/>
      <w:lvlJc w:val="left"/>
      <w:pPr>
        <w:tabs>
          <w:tab w:val="num" w:pos="720"/>
        </w:tabs>
        <w:ind w:left="720" w:hanging="360"/>
      </w:pPr>
      <w:rPr>
        <w:rFonts w:ascii="Wingdings" w:hAnsi="Wingdings" w:hint="default"/>
      </w:rPr>
    </w:lvl>
    <w:lvl w:ilvl="1" w:tplc="DAB05574" w:tentative="1">
      <w:start w:val="1"/>
      <w:numFmt w:val="bullet"/>
      <w:lvlText w:val=""/>
      <w:lvlJc w:val="left"/>
      <w:pPr>
        <w:tabs>
          <w:tab w:val="num" w:pos="1440"/>
        </w:tabs>
        <w:ind w:left="1440" w:hanging="360"/>
      </w:pPr>
      <w:rPr>
        <w:rFonts w:ascii="Wingdings" w:hAnsi="Wingdings" w:hint="default"/>
      </w:rPr>
    </w:lvl>
    <w:lvl w:ilvl="2" w:tplc="B74C85EE" w:tentative="1">
      <w:start w:val="1"/>
      <w:numFmt w:val="bullet"/>
      <w:lvlText w:val=""/>
      <w:lvlJc w:val="left"/>
      <w:pPr>
        <w:tabs>
          <w:tab w:val="num" w:pos="2160"/>
        </w:tabs>
        <w:ind w:left="2160" w:hanging="360"/>
      </w:pPr>
      <w:rPr>
        <w:rFonts w:ascii="Wingdings" w:hAnsi="Wingdings" w:hint="default"/>
      </w:rPr>
    </w:lvl>
    <w:lvl w:ilvl="3" w:tplc="A37C7920" w:tentative="1">
      <w:start w:val="1"/>
      <w:numFmt w:val="bullet"/>
      <w:lvlText w:val=""/>
      <w:lvlJc w:val="left"/>
      <w:pPr>
        <w:tabs>
          <w:tab w:val="num" w:pos="2880"/>
        </w:tabs>
        <w:ind w:left="2880" w:hanging="360"/>
      </w:pPr>
      <w:rPr>
        <w:rFonts w:ascii="Wingdings" w:hAnsi="Wingdings" w:hint="default"/>
      </w:rPr>
    </w:lvl>
    <w:lvl w:ilvl="4" w:tplc="5486041C" w:tentative="1">
      <w:start w:val="1"/>
      <w:numFmt w:val="bullet"/>
      <w:lvlText w:val=""/>
      <w:lvlJc w:val="left"/>
      <w:pPr>
        <w:tabs>
          <w:tab w:val="num" w:pos="3600"/>
        </w:tabs>
        <w:ind w:left="3600" w:hanging="360"/>
      </w:pPr>
      <w:rPr>
        <w:rFonts w:ascii="Wingdings" w:hAnsi="Wingdings" w:hint="default"/>
      </w:rPr>
    </w:lvl>
    <w:lvl w:ilvl="5" w:tplc="0B541B0A" w:tentative="1">
      <w:start w:val="1"/>
      <w:numFmt w:val="bullet"/>
      <w:lvlText w:val=""/>
      <w:lvlJc w:val="left"/>
      <w:pPr>
        <w:tabs>
          <w:tab w:val="num" w:pos="4320"/>
        </w:tabs>
        <w:ind w:left="4320" w:hanging="360"/>
      </w:pPr>
      <w:rPr>
        <w:rFonts w:ascii="Wingdings" w:hAnsi="Wingdings" w:hint="default"/>
      </w:rPr>
    </w:lvl>
    <w:lvl w:ilvl="6" w:tplc="A3E89D66" w:tentative="1">
      <w:start w:val="1"/>
      <w:numFmt w:val="bullet"/>
      <w:lvlText w:val=""/>
      <w:lvlJc w:val="left"/>
      <w:pPr>
        <w:tabs>
          <w:tab w:val="num" w:pos="5040"/>
        </w:tabs>
        <w:ind w:left="5040" w:hanging="360"/>
      </w:pPr>
      <w:rPr>
        <w:rFonts w:ascii="Wingdings" w:hAnsi="Wingdings" w:hint="default"/>
      </w:rPr>
    </w:lvl>
    <w:lvl w:ilvl="7" w:tplc="BFF24B04" w:tentative="1">
      <w:start w:val="1"/>
      <w:numFmt w:val="bullet"/>
      <w:lvlText w:val=""/>
      <w:lvlJc w:val="left"/>
      <w:pPr>
        <w:tabs>
          <w:tab w:val="num" w:pos="5760"/>
        </w:tabs>
        <w:ind w:left="5760" w:hanging="360"/>
      </w:pPr>
      <w:rPr>
        <w:rFonts w:ascii="Wingdings" w:hAnsi="Wingdings" w:hint="default"/>
      </w:rPr>
    </w:lvl>
    <w:lvl w:ilvl="8" w:tplc="55F40712" w:tentative="1">
      <w:start w:val="1"/>
      <w:numFmt w:val="bullet"/>
      <w:lvlText w:val=""/>
      <w:lvlJc w:val="left"/>
      <w:pPr>
        <w:tabs>
          <w:tab w:val="num" w:pos="6480"/>
        </w:tabs>
        <w:ind w:left="6480" w:hanging="360"/>
      </w:pPr>
      <w:rPr>
        <w:rFonts w:ascii="Wingdings" w:hAnsi="Wingdings" w:hint="default"/>
      </w:rPr>
    </w:lvl>
  </w:abstractNum>
  <w:abstractNum w:abstractNumId="16">
    <w:nsid w:val="1EFE273A"/>
    <w:multiLevelType w:val="hybridMultilevel"/>
    <w:tmpl w:val="256270EA"/>
    <w:lvl w:ilvl="0" w:tplc="4FE21610">
      <w:start w:val="1"/>
      <w:numFmt w:val="bullet"/>
      <w:lvlText w:val="–"/>
      <w:lvlJc w:val="left"/>
      <w:pPr>
        <w:ind w:left="1045" w:hanging="360"/>
      </w:pPr>
      <w:rPr>
        <w:rFonts w:ascii="Calibri" w:hAnsi="Calibri" w:hint="default"/>
      </w:rPr>
    </w:lvl>
    <w:lvl w:ilvl="1" w:tplc="04150003" w:tentative="1">
      <w:start w:val="1"/>
      <w:numFmt w:val="bullet"/>
      <w:lvlText w:val="o"/>
      <w:lvlJc w:val="left"/>
      <w:pPr>
        <w:ind w:left="1765" w:hanging="360"/>
      </w:pPr>
      <w:rPr>
        <w:rFonts w:ascii="Courier New" w:hAnsi="Courier New" w:cs="Courier New" w:hint="default"/>
      </w:rPr>
    </w:lvl>
    <w:lvl w:ilvl="2" w:tplc="04150005" w:tentative="1">
      <w:start w:val="1"/>
      <w:numFmt w:val="bullet"/>
      <w:lvlText w:val=""/>
      <w:lvlJc w:val="left"/>
      <w:pPr>
        <w:ind w:left="2485" w:hanging="360"/>
      </w:pPr>
      <w:rPr>
        <w:rFonts w:ascii="Wingdings" w:hAnsi="Wingdings" w:hint="default"/>
      </w:rPr>
    </w:lvl>
    <w:lvl w:ilvl="3" w:tplc="04150001" w:tentative="1">
      <w:start w:val="1"/>
      <w:numFmt w:val="bullet"/>
      <w:lvlText w:val=""/>
      <w:lvlJc w:val="left"/>
      <w:pPr>
        <w:ind w:left="3205" w:hanging="360"/>
      </w:pPr>
      <w:rPr>
        <w:rFonts w:ascii="Symbol" w:hAnsi="Symbol" w:hint="default"/>
      </w:rPr>
    </w:lvl>
    <w:lvl w:ilvl="4" w:tplc="04150003" w:tentative="1">
      <w:start w:val="1"/>
      <w:numFmt w:val="bullet"/>
      <w:lvlText w:val="o"/>
      <w:lvlJc w:val="left"/>
      <w:pPr>
        <w:ind w:left="3925" w:hanging="360"/>
      </w:pPr>
      <w:rPr>
        <w:rFonts w:ascii="Courier New" w:hAnsi="Courier New" w:cs="Courier New" w:hint="default"/>
      </w:rPr>
    </w:lvl>
    <w:lvl w:ilvl="5" w:tplc="04150005" w:tentative="1">
      <w:start w:val="1"/>
      <w:numFmt w:val="bullet"/>
      <w:lvlText w:val=""/>
      <w:lvlJc w:val="left"/>
      <w:pPr>
        <w:ind w:left="4645" w:hanging="360"/>
      </w:pPr>
      <w:rPr>
        <w:rFonts w:ascii="Wingdings" w:hAnsi="Wingdings" w:hint="default"/>
      </w:rPr>
    </w:lvl>
    <w:lvl w:ilvl="6" w:tplc="04150001" w:tentative="1">
      <w:start w:val="1"/>
      <w:numFmt w:val="bullet"/>
      <w:lvlText w:val=""/>
      <w:lvlJc w:val="left"/>
      <w:pPr>
        <w:ind w:left="5365" w:hanging="360"/>
      </w:pPr>
      <w:rPr>
        <w:rFonts w:ascii="Symbol" w:hAnsi="Symbol" w:hint="default"/>
      </w:rPr>
    </w:lvl>
    <w:lvl w:ilvl="7" w:tplc="04150003" w:tentative="1">
      <w:start w:val="1"/>
      <w:numFmt w:val="bullet"/>
      <w:lvlText w:val="o"/>
      <w:lvlJc w:val="left"/>
      <w:pPr>
        <w:ind w:left="6085" w:hanging="360"/>
      </w:pPr>
      <w:rPr>
        <w:rFonts w:ascii="Courier New" w:hAnsi="Courier New" w:cs="Courier New" w:hint="default"/>
      </w:rPr>
    </w:lvl>
    <w:lvl w:ilvl="8" w:tplc="04150005" w:tentative="1">
      <w:start w:val="1"/>
      <w:numFmt w:val="bullet"/>
      <w:lvlText w:val=""/>
      <w:lvlJc w:val="left"/>
      <w:pPr>
        <w:ind w:left="6805" w:hanging="360"/>
      </w:pPr>
      <w:rPr>
        <w:rFonts w:ascii="Wingdings" w:hAnsi="Wingdings" w:hint="default"/>
      </w:rPr>
    </w:lvl>
  </w:abstractNum>
  <w:abstractNum w:abstractNumId="17">
    <w:nsid w:val="1F42697B"/>
    <w:multiLevelType w:val="hybridMultilevel"/>
    <w:tmpl w:val="CE448B42"/>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1F9E2CA1"/>
    <w:multiLevelType w:val="hybridMultilevel"/>
    <w:tmpl w:val="B1246690"/>
    <w:lvl w:ilvl="0" w:tplc="CE6EE9DA">
      <w:start w:val="1"/>
      <w:numFmt w:val="bullet"/>
      <w:lvlText w:val="–"/>
      <w:lvlJc w:val="left"/>
      <w:pPr>
        <w:ind w:left="720" w:hanging="360"/>
      </w:pPr>
      <w:rPr>
        <w:rFonts w:ascii="Calibri" w:hAnsi="Calibri" w:hint="default"/>
        <w:color w:val="404040"/>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22554FF4"/>
    <w:multiLevelType w:val="hybridMultilevel"/>
    <w:tmpl w:val="5E6CDDF2"/>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31A460E"/>
    <w:multiLevelType w:val="hybridMultilevel"/>
    <w:tmpl w:val="899EED06"/>
    <w:lvl w:ilvl="0" w:tplc="4FE21610">
      <w:start w:val="1"/>
      <w:numFmt w:val="bullet"/>
      <w:lvlText w:val="–"/>
      <w:lvlJc w:val="left"/>
      <w:pPr>
        <w:ind w:left="720" w:hanging="360"/>
      </w:pPr>
      <w:rPr>
        <w:rFonts w:ascii="Calibri" w:hAnsi="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2379187B"/>
    <w:multiLevelType w:val="hybridMultilevel"/>
    <w:tmpl w:val="D6A03144"/>
    <w:lvl w:ilvl="0" w:tplc="4FE21610">
      <w:start w:val="1"/>
      <w:numFmt w:val="bullet"/>
      <w:lvlText w:val="–"/>
      <w:lvlJc w:val="left"/>
      <w:pPr>
        <w:ind w:left="1080" w:hanging="360"/>
      </w:pPr>
      <w:rPr>
        <w:rFonts w:ascii="Calibri" w:hAnsi="Calibr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
    <w:nsid w:val="23D02C93"/>
    <w:multiLevelType w:val="hybridMultilevel"/>
    <w:tmpl w:val="963C29C6"/>
    <w:lvl w:ilvl="0" w:tplc="4FE21610">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7B45E27"/>
    <w:multiLevelType w:val="hybridMultilevel"/>
    <w:tmpl w:val="8C96F110"/>
    <w:lvl w:ilvl="0" w:tplc="8654EABE">
      <w:start w:val="1"/>
      <w:numFmt w:val="decimal"/>
      <w:lvlText w:val="%1."/>
      <w:lvlJc w:val="left"/>
      <w:pPr>
        <w:tabs>
          <w:tab w:val="num" w:pos="720"/>
        </w:tabs>
        <w:ind w:left="720" w:hanging="360"/>
      </w:pPr>
    </w:lvl>
    <w:lvl w:ilvl="1" w:tplc="10366998" w:tentative="1">
      <w:start w:val="1"/>
      <w:numFmt w:val="decimal"/>
      <w:lvlText w:val="%2."/>
      <w:lvlJc w:val="left"/>
      <w:pPr>
        <w:tabs>
          <w:tab w:val="num" w:pos="1440"/>
        </w:tabs>
        <w:ind w:left="1440" w:hanging="360"/>
      </w:pPr>
    </w:lvl>
    <w:lvl w:ilvl="2" w:tplc="44468C8C" w:tentative="1">
      <w:start w:val="1"/>
      <w:numFmt w:val="decimal"/>
      <w:lvlText w:val="%3."/>
      <w:lvlJc w:val="left"/>
      <w:pPr>
        <w:tabs>
          <w:tab w:val="num" w:pos="2160"/>
        </w:tabs>
        <w:ind w:left="2160" w:hanging="360"/>
      </w:pPr>
    </w:lvl>
    <w:lvl w:ilvl="3" w:tplc="44EC8822" w:tentative="1">
      <w:start w:val="1"/>
      <w:numFmt w:val="decimal"/>
      <w:lvlText w:val="%4."/>
      <w:lvlJc w:val="left"/>
      <w:pPr>
        <w:tabs>
          <w:tab w:val="num" w:pos="2880"/>
        </w:tabs>
        <w:ind w:left="2880" w:hanging="360"/>
      </w:pPr>
    </w:lvl>
    <w:lvl w:ilvl="4" w:tplc="EEFCDB04" w:tentative="1">
      <w:start w:val="1"/>
      <w:numFmt w:val="decimal"/>
      <w:lvlText w:val="%5."/>
      <w:lvlJc w:val="left"/>
      <w:pPr>
        <w:tabs>
          <w:tab w:val="num" w:pos="3600"/>
        </w:tabs>
        <w:ind w:left="3600" w:hanging="360"/>
      </w:pPr>
    </w:lvl>
    <w:lvl w:ilvl="5" w:tplc="D33078D8" w:tentative="1">
      <w:start w:val="1"/>
      <w:numFmt w:val="decimal"/>
      <w:lvlText w:val="%6."/>
      <w:lvlJc w:val="left"/>
      <w:pPr>
        <w:tabs>
          <w:tab w:val="num" w:pos="4320"/>
        </w:tabs>
        <w:ind w:left="4320" w:hanging="360"/>
      </w:pPr>
    </w:lvl>
    <w:lvl w:ilvl="6" w:tplc="80024562" w:tentative="1">
      <w:start w:val="1"/>
      <w:numFmt w:val="decimal"/>
      <w:lvlText w:val="%7."/>
      <w:lvlJc w:val="left"/>
      <w:pPr>
        <w:tabs>
          <w:tab w:val="num" w:pos="5040"/>
        </w:tabs>
        <w:ind w:left="5040" w:hanging="360"/>
      </w:pPr>
    </w:lvl>
    <w:lvl w:ilvl="7" w:tplc="38BAB0AE" w:tentative="1">
      <w:start w:val="1"/>
      <w:numFmt w:val="decimal"/>
      <w:lvlText w:val="%8."/>
      <w:lvlJc w:val="left"/>
      <w:pPr>
        <w:tabs>
          <w:tab w:val="num" w:pos="5760"/>
        </w:tabs>
        <w:ind w:left="5760" w:hanging="360"/>
      </w:pPr>
    </w:lvl>
    <w:lvl w:ilvl="8" w:tplc="7A1017AE" w:tentative="1">
      <w:start w:val="1"/>
      <w:numFmt w:val="decimal"/>
      <w:lvlText w:val="%9."/>
      <w:lvlJc w:val="left"/>
      <w:pPr>
        <w:tabs>
          <w:tab w:val="num" w:pos="6480"/>
        </w:tabs>
        <w:ind w:left="6480" w:hanging="360"/>
      </w:pPr>
    </w:lvl>
  </w:abstractNum>
  <w:abstractNum w:abstractNumId="24">
    <w:nsid w:val="286727F7"/>
    <w:multiLevelType w:val="hybridMultilevel"/>
    <w:tmpl w:val="065C5B64"/>
    <w:lvl w:ilvl="0" w:tplc="7C6A93B8">
      <w:start w:val="1"/>
      <w:numFmt w:val="bullet"/>
      <w:lvlText w:val=""/>
      <w:lvlJc w:val="left"/>
      <w:pPr>
        <w:ind w:left="720" w:hanging="360"/>
      </w:pPr>
      <w:rPr>
        <w:rFonts w:ascii="Wingdings" w:hAnsi="Wingdings"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2B70179E"/>
    <w:multiLevelType w:val="multilevel"/>
    <w:tmpl w:val="1DD4D548"/>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Century Gothic" w:hAnsi="Century Gothic" w:hint="default"/>
        <w:b/>
        <w:color w:val="000000"/>
        <w:sz w:val="14"/>
        <w:szCs w:val="14"/>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26">
    <w:nsid w:val="2D9565E4"/>
    <w:multiLevelType w:val="hybridMultilevel"/>
    <w:tmpl w:val="32EE3B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2F150180"/>
    <w:multiLevelType w:val="multilevel"/>
    <w:tmpl w:val="D25ED6DA"/>
    <w:lvl w:ilvl="0">
      <w:start w:val="1"/>
      <w:numFmt w:val="decimal"/>
      <w:lvlText w:val="%1."/>
      <w:lvlJc w:val="left"/>
      <w:pPr>
        <w:ind w:left="1004" w:hanging="360"/>
      </w:pPr>
    </w:lvl>
    <w:lvl w:ilvl="1">
      <w:start w:val="1"/>
      <w:numFmt w:val="decimal"/>
      <w:isLgl/>
      <w:lvlText w:val="%1.%2."/>
      <w:lvlJc w:val="left"/>
      <w:pPr>
        <w:ind w:left="1004" w:hanging="72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724" w:hanging="108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2084" w:hanging="144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444" w:hanging="1800"/>
      </w:pPr>
      <w:rPr>
        <w:rFonts w:hint="default"/>
      </w:rPr>
    </w:lvl>
    <w:lvl w:ilvl="8">
      <w:start w:val="1"/>
      <w:numFmt w:val="decimal"/>
      <w:isLgl/>
      <w:lvlText w:val="%1.%2.%3.%4.%5.%6.%7.%8.%9."/>
      <w:lvlJc w:val="left"/>
      <w:pPr>
        <w:ind w:left="2444" w:hanging="1800"/>
      </w:pPr>
      <w:rPr>
        <w:rFonts w:hint="default"/>
      </w:rPr>
    </w:lvl>
  </w:abstractNum>
  <w:abstractNum w:abstractNumId="28">
    <w:nsid w:val="30642EBD"/>
    <w:multiLevelType w:val="hybridMultilevel"/>
    <w:tmpl w:val="759ED356"/>
    <w:lvl w:ilvl="0" w:tplc="CE6EE9DA">
      <w:start w:val="1"/>
      <w:numFmt w:val="bullet"/>
      <w:lvlText w:val="–"/>
      <w:lvlJc w:val="left"/>
      <w:pPr>
        <w:ind w:left="720" w:hanging="360"/>
      </w:pPr>
      <w:rPr>
        <w:rFonts w:ascii="Calibri" w:hAnsi="Calibri" w:hint="default"/>
        <w:color w:val="404040"/>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4FE3D27"/>
    <w:multiLevelType w:val="hybridMultilevel"/>
    <w:tmpl w:val="A07C1CA4"/>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36145F91"/>
    <w:multiLevelType w:val="hybridMultilevel"/>
    <w:tmpl w:val="E8CC7D3E"/>
    <w:lvl w:ilvl="0" w:tplc="3DEA9B10">
      <w:start w:val="1"/>
      <w:numFmt w:val="bullet"/>
      <w:lvlText w:val=""/>
      <w:lvlJc w:val="left"/>
      <w:pPr>
        <w:tabs>
          <w:tab w:val="num" w:pos="720"/>
        </w:tabs>
        <w:ind w:left="720" w:hanging="360"/>
      </w:pPr>
      <w:rPr>
        <w:rFonts w:ascii="Wingdings" w:hAnsi="Wingdings" w:hint="default"/>
      </w:rPr>
    </w:lvl>
    <w:lvl w:ilvl="1" w:tplc="30988BDC" w:tentative="1">
      <w:start w:val="1"/>
      <w:numFmt w:val="bullet"/>
      <w:lvlText w:val=""/>
      <w:lvlJc w:val="left"/>
      <w:pPr>
        <w:tabs>
          <w:tab w:val="num" w:pos="1440"/>
        </w:tabs>
        <w:ind w:left="1440" w:hanging="360"/>
      </w:pPr>
      <w:rPr>
        <w:rFonts w:ascii="Wingdings" w:hAnsi="Wingdings" w:hint="default"/>
      </w:rPr>
    </w:lvl>
    <w:lvl w:ilvl="2" w:tplc="E85EDFFA" w:tentative="1">
      <w:start w:val="1"/>
      <w:numFmt w:val="bullet"/>
      <w:lvlText w:val=""/>
      <w:lvlJc w:val="left"/>
      <w:pPr>
        <w:tabs>
          <w:tab w:val="num" w:pos="2160"/>
        </w:tabs>
        <w:ind w:left="2160" w:hanging="360"/>
      </w:pPr>
      <w:rPr>
        <w:rFonts w:ascii="Wingdings" w:hAnsi="Wingdings" w:hint="default"/>
      </w:rPr>
    </w:lvl>
    <w:lvl w:ilvl="3" w:tplc="FC8C185E" w:tentative="1">
      <w:start w:val="1"/>
      <w:numFmt w:val="bullet"/>
      <w:lvlText w:val=""/>
      <w:lvlJc w:val="left"/>
      <w:pPr>
        <w:tabs>
          <w:tab w:val="num" w:pos="2880"/>
        </w:tabs>
        <w:ind w:left="2880" w:hanging="360"/>
      </w:pPr>
      <w:rPr>
        <w:rFonts w:ascii="Wingdings" w:hAnsi="Wingdings" w:hint="default"/>
      </w:rPr>
    </w:lvl>
    <w:lvl w:ilvl="4" w:tplc="2A36BED0" w:tentative="1">
      <w:start w:val="1"/>
      <w:numFmt w:val="bullet"/>
      <w:lvlText w:val=""/>
      <w:lvlJc w:val="left"/>
      <w:pPr>
        <w:tabs>
          <w:tab w:val="num" w:pos="3600"/>
        </w:tabs>
        <w:ind w:left="3600" w:hanging="360"/>
      </w:pPr>
      <w:rPr>
        <w:rFonts w:ascii="Wingdings" w:hAnsi="Wingdings" w:hint="default"/>
      </w:rPr>
    </w:lvl>
    <w:lvl w:ilvl="5" w:tplc="D64CA088" w:tentative="1">
      <w:start w:val="1"/>
      <w:numFmt w:val="bullet"/>
      <w:lvlText w:val=""/>
      <w:lvlJc w:val="left"/>
      <w:pPr>
        <w:tabs>
          <w:tab w:val="num" w:pos="4320"/>
        </w:tabs>
        <w:ind w:left="4320" w:hanging="360"/>
      </w:pPr>
      <w:rPr>
        <w:rFonts w:ascii="Wingdings" w:hAnsi="Wingdings" w:hint="default"/>
      </w:rPr>
    </w:lvl>
    <w:lvl w:ilvl="6" w:tplc="234A555E" w:tentative="1">
      <w:start w:val="1"/>
      <w:numFmt w:val="bullet"/>
      <w:lvlText w:val=""/>
      <w:lvlJc w:val="left"/>
      <w:pPr>
        <w:tabs>
          <w:tab w:val="num" w:pos="5040"/>
        </w:tabs>
        <w:ind w:left="5040" w:hanging="360"/>
      </w:pPr>
      <w:rPr>
        <w:rFonts w:ascii="Wingdings" w:hAnsi="Wingdings" w:hint="default"/>
      </w:rPr>
    </w:lvl>
    <w:lvl w:ilvl="7" w:tplc="762E3E2A" w:tentative="1">
      <w:start w:val="1"/>
      <w:numFmt w:val="bullet"/>
      <w:lvlText w:val=""/>
      <w:lvlJc w:val="left"/>
      <w:pPr>
        <w:tabs>
          <w:tab w:val="num" w:pos="5760"/>
        </w:tabs>
        <w:ind w:left="5760" w:hanging="360"/>
      </w:pPr>
      <w:rPr>
        <w:rFonts w:ascii="Wingdings" w:hAnsi="Wingdings" w:hint="default"/>
      </w:rPr>
    </w:lvl>
    <w:lvl w:ilvl="8" w:tplc="3830D11A" w:tentative="1">
      <w:start w:val="1"/>
      <w:numFmt w:val="bullet"/>
      <w:lvlText w:val=""/>
      <w:lvlJc w:val="left"/>
      <w:pPr>
        <w:tabs>
          <w:tab w:val="num" w:pos="6480"/>
        </w:tabs>
        <w:ind w:left="6480" w:hanging="360"/>
      </w:pPr>
      <w:rPr>
        <w:rFonts w:ascii="Wingdings" w:hAnsi="Wingdings" w:hint="default"/>
      </w:rPr>
    </w:lvl>
  </w:abstractNum>
  <w:abstractNum w:abstractNumId="31">
    <w:nsid w:val="3672639D"/>
    <w:multiLevelType w:val="hybridMultilevel"/>
    <w:tmpl w:val="AB8458E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37B01229"/>
    <w:multiLevelType w:val="hybridMultilevel"/>
    <w:tmpl w:val="801EA22E"/>
    <w:lvl w:ilvl="0" w:tplc="CE6EE9DA">
      <w:start w:val="1"/>
      <w:numFmt w:val="bullet"/>
      <w:lvlText w:val="–"/>
      <w:lvlJc w:val="left"/>
      <w:pPr>
        <w:ind w:left="720" w:hanging="360"/>
      </w:pPr>
      <w:rPr>
        <w:rFonts w:ascii="Calibri" w:hAnsi="Calibri" w:hint="default"/>
        <w:color w:val="404040"/>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39B62949"/>
    <w:multiLevelType w:val="hybridMultilevel"/>
    <w:tmpl w:val="AB508C2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3DCF623B"/>
    <w:multiLevelType w:val="hybridMultilevel"/>
    <w:tmpl w:val="73D631A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42E34DE9"/>
    <w:multiLevelType w:val="hybridMultilevel"/>
    <w:tmpl w:val="60BCAA2E"/>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42F20F6D"/>
    <w:multiLevelType w:val="hybridMultilevel"/>
    <w:tmpl w:val="BB30BAB6"/>
    <w:lvl w:ilvl="0" w:tplc="F0FA4522">
      <w:start w:val="1"/>
      <w:numFmt w:val="bullet"/>
      <w:lvlText w:val=""/>
      <w:lvlJc w:val="left"/>
      <w:pPr>
        <w:ind w:left="720" w:hanging="360"/>
      </w:pPr>
      <w:rPr>
        <w:rFonts w:ascii="Symbol" w:hAnsi="Symbol" w:hint="default"/>
      </w:rPr>
    </w:lvl>
    <w:lvl w:ilvl="1" w:tplc="670EE2A6">
      <w:numFmt w:val="bullet"/>
      <w:lvlText w:val="-"/>
      <w:lvlJc w:val="left"/>
      <w:pPr>
        <w:ind w:left="1695" w:hanging="615"/>
      </w:pPr>
      <w:rPr>
        <w:rFonts w:ascii="Calibri" w:eastAsia="Calibr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43387DE6"/>
    <w:multiLevelType w:val="hybridMultilevel"/>
    <w:tmpl w:val="4C92FC2A"/>
    <w:lvl w:ilvl="0" w:tplc="CE6EE9DA">
      <w:start w:val="1"/>
      <w:numFmt w:val="bullet"/>
      <w:lvlText w:val="–"/>
      <w:lvlJc w:val="left"/>
      <w:pPr>
        <w:ind w:left="720" w:hanging="360"/>
      </w:pPr>
      <w:rPr>
        <w:rFonts w:ascii="Calibri" w:hAnsi="Calibri" w:hint="default"/>
        <w:color w:val="404040"/>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46A43EBA"/>
    <w:multiLevelType w:val="hybridMultilevel"/>
    <w:tmpl w:val="B2A611B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46AB461A"/>
    <w:multiLevelType w:val="hybridMultilevel"/>
    <w:tmpl w:val="08F29DAE"/>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48133FBD"/>
    <w:multiLevelType w:val="hybridMultilevel"/>
    <w:tmpl w:val="06845FF8"/>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491D1A75"/>
    <w:multiLevelType w:val="hybridMultilevel"/>
    <w:tmpl w:val="700CF242"/>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4AF26BBE"/>
    <w:multiLevelType w:val="hybridMultilevel"/>
    <w:tmpl w:val="579C5D0C"/>
    <w:lvl w:ilvl="0" w:tplc="F0FA4522">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4D0D2BBD"/>
    <w:multiLevelType w:val="hybridMultilevel"/>
    <w:tmpl w:val="71C6349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4F44171C"/>
    <w:multiLevelType w:val="hybridMultilevel"/>
    <w:tmpl w:val="95FA0E9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4FB641B2"/>
    <w:multiLevelType w:val="hybridMultilevel"/>
    <w:tmpl w:val="0EF89828"/>
    <w:lvl w:ilvl="0" w:tplc="04150001">
      <w:start w:val="1"/>
      <w:numFmt w:val="bullet"/>
      <w:lvlText w:val=""/>
      <w:lvlJc w:val="left"/>
      <w:pPr>
        <w:tabs>
          <w:tab w:val="num" w:pos="720"/>
        </w:tabs>
        <w:ind w:left="720" w:hanging="360"/>
      </w:pPr>
      <w:rPr>
        <w:rFonts w:ascii="Symbol" w:hAnsi="Symbol" w:hint="default"/>
      </w:rPr>
    </w:lvl>
    <w:lvl w:ilvl="1" w:tplc="04150003">
      <w:start w:val="1"/>
      <w:numFmt w:val="bullet"/>
      <w:lvlText w:val=""/>
      <w:lvlJc w:val="left"/>
      <w:pPr>
        <w:tabs>
          <w:tab w:val="num" w:pos="1440"/>
        </w:tabs>
        <w:ind w:left="1440" w:hanging="360"/>
      </w:pPr>
      <w:rPr>
        <w:rFonts w:ascii="Wingdings" w:hAnsi="Wingdings"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Wingdings" w:hAnsi="Wingdings" w:hint="default"/>
      </w:rPr>
    </w:lvl>
    <w:lvl w:ilvl="4" w:tplc="04150003" w:tentative="1">
      <w:start w:val="1"/>
      <w:numFmt w:val="bullet"/>
      <w:lvlText w:val=""/>
      <w:lvlJc w:val="left"/>
      <w:pPr>
        <w:tabs>
          <w:tab w:val="num" w:pos="3600"/>
        </w:tabs>
        <w:ind w:left="3600" w:hanging="360"/>
      </w:pPr>
      <w:rPr>
        <w:rFonts w:ascii="Wingdings" w:hAnsi="Wingdings"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Wingdings" w:hAnsi="Wingdings" w:hint="default"/>
      </w:rPr>
    </w:lvl>
    <w:lvl w:ilvl="7" w:tplc="04150003" w:tentative="1">
      <w:start w:val="1"/>
      <w:numFmt w:val="bullet"/>
      <w:lvlText w:val=""/>
      <w:lvlJc w:val="left"/>
      <w:pPr>
        <w:tabs>
          <w:tab w:val="num" w:pos="5760"/>
        </w:tabs>
        <w:ind w:left="5760" w:hanging="360"/>
      </w:pPr>
      <w:rPr>
        <w:rFonts w:ascii="Wingdings" w:hAnsi="Wingdings"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6">
    <w:nsid w:val="50D242C4"/>
    <w:multiLevelType w:val="hybridMultilevel"/>
    <w:tmpl w:val="301864C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5114438B"/>
    <w:multiLevelType w:val="hybridMultilevel"/>
    <w:tmpl w:val="20A249D2"/>
    <w:lvl w:ilvl="0" w:tplc="E752D940">
      <w:start w:val="1"/>
      <w:numFmt w:val="bullet"/>
      <w:pStyle w:val="BORDOX"/>
      <w:lvlText w:val=""/>
      <w:lvlJc w:val="left"/>
      <w:pPr>
        <w:ind w:left="1713" w:hanging="360"/>
      </w:pPr>
      <w:rPr>
        <w:rFonts w:ascii="Wingdings" w:hAnsi="Wingdings" w:cs="Wingdings" w:hint="default"/>
        <w:color w:val="943634"/>
        <w:sz w:val="20"/>
        <w:szCs w:val="20"/>
      </w:rPr>
    </w:lvl>
    <w:lvl w:ilvl="1" w:tplc="01427C52" w:tentative="1">
      <w:start w:val="1"/>
      <w:numFmt w:val="bullet"/>
      <w:lvlText w:val="o"/>
      <w:lvlJc w:val="left"/>
      <w:pPr>
        <w:ind w:left="2433" w:hanging="360"/>
      </w:pPr>
      <w:rPr>
        <w:rFonts w:ascii="Courier New" w:hAnsi="Courier New" w:cs="Courier New" w:hint="default"/>
      </w:rPr>
    </w:lvl>
    <w:lvl w:ilvl="2" w:tplc="BA3AE6B0" w:tentative="1">
      <w:start w:val="1"/>
      <w:numFmt w:val="bullet"/>
      <w:lvlText w:val=""/>
      <w:lvlJc w:val="left"/>
      <w:pPr>
        <w:ind w:left="3153" w:hanging="360"/>
      </w:pPr>
      <w:rPr>
        <w:rFonts w:ascii="Wingdings" w:hAnsi="Wingdings" w:cs="Wingdings" w:hint="default"/>
      </w:rPr>
    </w:lvl>
    <w:lvl w:ilvl="3" w:tplc="6C36B8A8" w:tentative="1">
      <w:start w:val="1"/>
      <w:numFmt w:val="bullet"/>
      <w:lvlText w:val=""/>
      <w:lvlJc w:val="left"/>
      <w:pPr>
        <w:ind w:left="3873" w:hanging="360"/>
      </w:pPr>
      <w:rPr>
        <w:rFonts w:ascii="Symbol" w:hAnsi="Symbol" w:cs="Symbol" w:hint="default"/>
      </w:rPr>
    </w:lvl>
    <w:lvl w:ilvl="4" w:tplc="B2FE5AC0" w:tentative="1">
      <w:start w:val="1"/>
      <w:numFmt w:val="bullet"/>
      <w:lvlText w:val="o"/>
      <w:lvlJc w:val="left"/>
      <w:pPr>
        <w:ind w:left="4593" w:hanging="360"/>
      </w:pPr>
      <w:rPr>
        <w:rFonts w:ascii="Courier New" w:hAnsi="Courier New" w:cs="Courier New" w:hint="default"/>
      </w:rPr>
    </w:lvl>
    <w:lvl w:ilvl="5" w:tplc="F0F43FB4" w:tentative="1">
      <w:start w:val="1"/>
      <w:numFmt w:val="bullet"/>
      <w:lvlText w:val=""/>
      <w:lvlJc w:val="left"/>
      <w:pPr>
        <w:ind w:left="5313" w:hanging="360"/>
      </w:pPr>
      <w:rPr>
        <w:rFonts w:ascii="Wingdings" w:hAnsi="Wingdings" w:cs="Wingdings" w:hint="default"/>
      </w:rPr>
    </w:lvl>
    <w:lvl w:ilvl="6" w:tplc="60F4CF3A" w:tentative="1">
      <w:start w:val="1"/>
      <w:numFmt w:val="bullet"/>
      <w:lvlText w:val=""/>
      <w:lvlJc w:val="left"/>
      <w:pPr>
        <w:ind w:left="6033" w:hanging="360"/>
      </w:pPr>
      <w:rPr>
        <w:rFonts w:ascii="Symbol" w:hAnsi="Symbol" w:cs="Symbol" w:hint="default"/>
      </w:rPr>
    </w:lvl>
    <w:lvl w:ilvl="7" w:tplc="A2CE532A" w:tentative="1">
      <w:start w:val="1"/>
      <w:numFmt w:val="bullet"/>
      <w:lvlText w:val="o"/>
      <w:lvlJc w:val="left"/>
      <w:pPr>
        <w:ind w:left="6753" w:hanging="360"/>
      </w:pPr>
      <w:rPr>
        <w:rFonts w:ascii="Courier New" w:hAnsi="Courier New" w:cs="Courier New" w:hint="default"/>
      </w:rPr>
    </w:lvl>
    <w:lvl w:ilvl="8" w:tplc="C90A3DD2" w:tentative="1">
      <w:start w:val="1"/>
      <w:numFmt w:val="bullet"/>
      <w:lvlText w:val=""/>
      <w:lvlJc w:val="left"/>
      <w:pPr>
        <w:ind w:left="7473" w:hanging="360"/>
      </w:pPr>
      <w:rPr>
        <w:rFonts w:ascii="Wingdings" w:hAnsi="Wingdings" w:cs="Wingdings" w:hint="default"/>
      </w:rPr>
    </w:lvl>
  </w:abstractNum>
  <w:abstractNum w:abstractNumId="48">
    <w:nsid w:val="58807F91"/>
    <w:multiLevelType w:val="hybridMultilevel"/>
    <w:tmpl w:val="3F864A88"/>
    <w:lvl w:ilvl="0" w:tplc="CE6EE9DA">
      <w:start w:val="1"/>
      <w:numFmt w:val="bullet"/>
      <w:lvlText w:val="–"/>
      <w:lvlJc w:val="left"/>
      <w:pPr>
        <w:ind w:left="720" w:hanging="360"/>
      </w:pPr>
      <w:rPr>
        <w:rFonts w:ascii="Calibri" w:hAnsi="Calibri" w:hint="default"/>
        <w:color w:val="404040"/>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5B701FBD"/>
    <w:multiLevelType w:val="hybridMultilevel"/>
    <w:tmpl w:val="BF4682BC"/>
    <w:lvl w:ilvl="0" w:tplc="4FE21610">
      <w:start w:val="1"/>
      <w:numFmt w:val="bullet"/>
      <w:lvlText w:val="–"/>
      <w:lvlJc w:val="left"/>
      <w:pPr>
        <w:ind w:left="720" w:hanging="360"/>
      </w:pPr>
      <w:rPr>
        <w:rFonts w:ascii="Calibri" w:hAnsi="Calibri"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5B895F83"/>
    <w:multiLevelType w:val="hybridMultilevel"/>
    <w:tmpl w:val="C12C3128"/>
    <w:lvl w:ilvl="0" w:tplc="7C6A93B8">
      <w:start w:val="1"/>
      <w:numFmt w:val="bullet"/>
      <w:lvlText w:val=""/>
      <w:lvlJc w:val="left"/>
      <w:pPr>
        <w:ind w:left="720" w:hanging="360"/>
      </w:pPr>
      <w:rPr>
        <w:rFonts w:ascii="Wingdings" w:hAnsi="Wingdings"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5F405C44"/>
    <w:multiLevelType w:val="hybridMultilevel"/>
    <w:tmpl w:val="8D72B950"/>
    <w:lvl w:ilvl="0" w:tplc="B1F0D492">
      <w:start w:val="1"/>
      <w:numFmt w:val="bullet"/>
      <w:pStyle w:val="pkt"/>
      <w:lvlText w:val=""/>
      <w:lvlJc w:val="left"/>
      <w:pPr>
        <w:ind w:left="720" w:hanging="360"/>
      </w:pPr>
      <w:rPr>
        <w:rFonts w:ascii="Wingdings" w:hAnsi="Wingdings" w:hint="default"/>
        <w:color w:val="FFC000"/>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5FE0590B"/>
    <w:multiLevelType w:val="multilevel"/>
    <w:tmpl w:val="81088EBC"/>
    <w:lvl w:ilvl="0">
      <w:start w:val="1"/>
      <w:numFmt w:val="decimal"/>
      <w:lvlText w:val="%1."/>
      <w:lvlJc w:val="left"/>
      <w:pPr>
        <w:ind w:left="0" w:firstLine="0"/>
      </w:pPr>
      <w:rPr>
        <w:rFonts w:hint="default"/>
        <w:b w:val="0"/>
      </w:rPr>
    </w:lvl>
    <w:lvl w:ilvl="1">
      <w:start w:val="1"/>
      <w:numFmt w:val="decimal"/>
      <w:lvlText w:val="%1.%2."/>
      <w:lvlJc w:val="left"/>
      <w:pPr>
        <w:ind w:left="0" w:firstLine="0"/>
      </w:pPr>
      <w:rPr>
        <w:rFonts w:hint="default"/>
        <w:b w:val="0"/>
      </w:rPr>
    </w:lvl>
    <w:lvl w:ilvl="2">
      <w:start w:val="1"/>
      <w:numFmt w:val="decimal"/>
      <w:lvlText w:val="%1.%2.%3."/>
      <w:lvlJc w:val="left"/>
      <w:pPr>
        <w:ind w:left="345" w:hanging="345"/>
      </w:pPr>
      <w:rPr>
        <w:rFonts w:hint="default"/>
        <w:b w:val="0"/>
      </w:rPr>
    </w:lvl>
    <w:lvl w:ilvl="3">
      <w:start w:val="1"/>
      <w:numFmt w:val="decimal"/>
      <w:lvlText w:val="%1.%2.%3.%4."/>
      <w:lvlJc w:val="left"/>
      <w:pPr>
        <w:ind w:left="345" w:hanging="345"/>
      </w:pPr>
      <w:rPr>
        <w:rFonts w:hint="default"/>
        <w:b w:val="0"/>
      </w:rPr>
    </w:lvl>
    <w:lvl w:ilvl="4">
      <w:start w:val="1"/>
      <w:numFmt w:val="decimal"/>
      <w:lvlText w:val="%1.%2.%3.%4.%5."/>
      <w:lvlJc w:val="left"/>
      <w:pPr>
        <w:ind w:left="705" w:hanging="705"/>
      </w:pPr>
      <w:rPr>
        <w:rFonts w:hint="default"/>
        <w:b w:val="0"/>
      </w:rPr>
    </w:lvl>
    <w:lvl w:ilvl="5">
      <w:start w:val="1"/>
      <w:numFmt w:val="decimal"/>
      <w:lvlText w:val="%1.%2.%3.%4.%5.%6."/>
      <w:lvlJc w:val="left"/>
      <w:pPr>
        <w:ind w:left="705" w:hanging="705"/>
      </w:pPr>
      <w:rPr>
        <w:rFonts w:hint="default"/>
        <w:b w:val="0"/>
      </w:rPr>
    </w:lvl>
    <w:lvl w:ilvl="6">
      <w:start w:val="1"/>
      <w:numFmt w:val="decimal"/>
      <w:lvlText w:val="%1.%2.%3.%4.%5.%6.%7."/>
      <w:lvlJc w:val="left"/>
      <w:pPr>
        <w:ind w:left="1065" w:hanging="1065"/>
      </w:pPr>
      <w:rPr>
        <w:rFonts w:hint="default"/>
        <w:b w:val="0"/>
      </w:rPr>
    </w:lvl>
    <w:lvl w:ilvl="7">
      <w:start w:val="1"/>
      <w:numFmt w:val="decimal"/>
      <w:lvlText w:val="%1.%2.%3.%4.%5.%6.%7.%8."/>
      <w:lvlJc w:val="left"/>
      <w:pPr>
        <w:ind w:left="1065" w:hanging="1065"/>
      </w:pPr>
      <w:rPr>
        <w:rFonts w:hint="default"/>
        <w:b w:val="0"/>
      </w:rPr>
    </w:lvl>
    <w:lvl w:ilvl="8">
      <w:start w:val="1"/>
      <w:numFmt w:val="decimal"/>
      <w:lvlText w:val="%1.%2.%3.%4.%5.%6.%7.%8.%9."/>
      <w:lvlJc w:val="left"/>
      <w:pPr>
        <w:ind w:left="1425" w:hanging="1425"/>
      </w:pPr>
      <w:rPr>
        <w:rFonts w:hint="default"/>
        <w:b w:val="0"/>
      </w:rPr>
    </w:lvl>
  </w:abstractNum>
  <w:abstractNum w:abstractNumId="53">
    <w:nsid w:val="60B9662B"/>
    <w:multiLevelType w:val="multilevel"/>
    <w:tmpl w:val="1B26DC02"/>
    <w:lvl w:ilvl="0">
      <w:start w:val="1"/>
      <w:numFmt w:val="decimal"/>
      <w:lvlText w:val="%1."/>
      <w:lvlJc w:val="left"/>
      <w:pPr>
        <w:ind w:left="928" w:hanging="360"/>
      </w:pPr>
      <w:rPr>
        <w:rFonts w:hint="default"/>
        <w:color w:val="7F7F7F"/>
        <w:sz w:val="24"/>
        <w:szCs w:val="24"/>
      </w:rPr>
    </w:lvl>
    <w:lvl w:ilvl="1">
      <w:start w:val="1"/>
      <w:numFmt w:val="decimal"/>
      <w:isLgl/>
      <w:lvlText w:val="%1.%2."/>
      <w:lvlJc w:val="left"/>
      <w:pPr>
        <w:ind w:left="3099" w:hanging="405"/>
      </w:pPr>
      <w:rPr>
        <w:rFonts w:hint="default"/>
        <w:b/>
        <w:bCs w:val="0"/>
        <w:i w:val="0"/>
        <w:iCs w:val="0"/>
        <w:caps w:val="0"/>
        <w:smallCaps w:val="0"/>
        <w:strike w:val="0"/>
        <w:dstrike w:val="0"/>
        <w:noProof w:val="0"/>
        <w:vanish w:val="0"/>
        <w:color w:val="7F7F7F"/>
        <w:spacing w:val="0"/>
        <w:kern w:val="0"/>
        <w:position w:val="0"/>
        <w:u w:val="none"/>
        <w:effect w:val="none"/>
        <w:vertAlign w:val="baseline"/>
        <w:em w:val="none"/>
        <w:specVanish w:val="0"/>
      </w:rPr>
    </w:lvl>
    <w:lvl w:ilvl="2">
      <w:start w:val="1"/>
      <w:numFmt w:val="decimal"/>
      <w:isLgl/>
      <w:lvlText w:val="%1.%2.%3."/>
      <w:lvlJc w:val="left"/>
      <w:pPr>
        <w:ind w:left="1080" w:hanging="720"/>
      </w:pPr>
      <w:rPr>
        <w:rFonts w:hint="default"/>
        <w:color w:val="808080"/>
      </w:rPr>
    </w:lvl>
    <w:lvl w:ilvl="3">
      <w:start w:val="1"/>
      <w:numFmt w:val="decimal"/>
      <w:isLgl/>
      <w:lvlText w:val="%1.%2.%3.%4."/>
      <w:lvlJc w:val="left"/>
      <w:pPr>
        <w:ind w:left="1080" w:hanging="720"/>
      </w:pPr>
      <w:rPr>
        <w:rFonts w:hint="default"/>
        <w:color w:val="808080"/>
      </w:rPr>
    </w:lvl>
    <w:lvl w:ilvl="4">
      <w:start w:val="1"/>
      <w:numFmt w:val="decimal"/>
      <w:isLgl/>
      <w:lvlText w:val="%1.%2.%3.%4.%5."/>
      <w:lvlJc w:val="left"/>
      <w:pPr>
        <w:ind w:left="1440" w:hanging="1080"/>
      </w:pPr>
      <w:rPr>
        <w:rFonts w:hint="default"/>
        <w:color w:val="808080"/>
      </w:rPr>
    </w:lvl>
    <w:lvl w:ilvl="5">
      <w:start w:val="1"/>
      <w:numFmt w:val="decimal"/>
      <w:isLgl/>
      <w:lvlText w:val="%1.%2.%3.%4.%5.%6."/>
      <w:lvlJc w:val="left"/>
      <w:pPr>
        <w:ind w:left="1440" w:hanging="1080"/>
      </w:pPr>
      <w:rPr>
        <w:rFonts w:hint="default"/>
        <w:color w:val="808080"/>
      </w:rPr>
    </w:lvl>
    <w:lvl w:ilvl="6">
      <w:start w:val="1"/>
      <w:numFmt w:val="decimal"/>
      <w:isLgl/>
      <w:lvlText w:val="%1.%2.%3.%4.%5.%6.%7."/>
      <w:lvlJc w:val="left"/>
      <w:pPr>
        <w:ind w:left="1800" w:hanging="1440"/>
      </w:pPr>
      <w:rPr>
        <w:rFonts w:hint="default"/>
        <w:color w:val="808080"/>
      </w:rPr>
    </w:lvl>
    <w:lvl w:ilvl="7">
      <w:start w:val="1"/>
      <w:numFmt w:val="decimal"/>
      <w:isLgl/>
      <w:lvlText w:val="%1.%2.%3.%4.%5.%6.%7.%8."/>
      <w:lvlJc w:val="left"/>
      <w:pPr>
        <w:ind w:left="1800" w:hanging="1440"/>
      </w:pPr>
      <w:rPr>
        <w:rFonts w:hint="default"/>
        <w:color w:val="808080"/>
      </w:rPr>
    </w:lvl>
    <w:lvl w:ilvl="8">
      <w:start w:val="1"/>
      <w:numFmt w:val="decimal"/>
      <w:isLgl/>
      <w:lvlText w:val="%1.%2.%3.%4.%5.%6.%7.%8.%9."/>
      <w:lvlJc w:val="left"/>
      <w:pPr>
        <w:ind w:left="2160" w:hanging="1800"/>
      </w:pPr>
      <w:rPr>
        <w:rFonts w:hint="default"/>
        <w:color w:val="808080"/>
      </w:rPr>
    </w:lvl>
  </w:abstractNum>
  <w:abstractNum w:abstractNumId="54">
    <w:nsid w:val="64F673C8"/>
    <w:multiLevelType w:val="hybridMultilevel"/>
    <w:tmpl w:val="1A269C6A"/>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674A4E6C"/>
    <w:multiLevelType w:val="hybridMultilevel"/>
    <w:tmpl w:val="7EF86572"/>
    <w:lvl w:ilvl="0" w:tplc="CE6EE9DA">
      <w:start w:val="1"/>
      <w:numFmt w:val="bullet"/>
      <w:lvlText w:val="–"/>
      <w:lvlJc w:val="left"/>
      <w:pPr>
        <w:ind w:left="720" w:hanging="360"/>
      </w:pPr>
      <w:rPr>
        <w:rFonts w:ascii="Calibri" w:hAnsi="Calibri" w:hint="default"/>
        <w:color w:val="404040"/>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67765702"/>
    <w:multiLevelType w:val="multilevel"/>
    <w:tmpl w:val="D5CCA6CE"/>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Century Gothic" w:hAnsi="Century Gothic" w:hint="default"/>
        <w:b/>
        <w:color w:val="000000"/>
        <w:sz w:val="14"/>
        <w:szCs w:val="14"/>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57">
    <w:nsid w:val="67FF6DA1"/>
    <w:multiLevelType w:val="hybridMultilevel"/>
    <w:tmpl w:val="3744B444"/>
    <w:lvl w:ilvl="0" w:tplc="8E4C8DE6">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8">
    <w:nsid w:val="6AE233E0"/>
    <w:multiLevelType w:val="multilevel"/>
    <w:tmpl w:val="B3A2F882"/>
    <w:lvl w:ilvl="0">
      <w:start w:val="2"/>
      <w:numFmt w:val="decimal"/>
      <w:lvlText w:val="%1."/>
      <w:lvlJc w:val="left"/>
      <w:pPr>
        <w:ind w:left="360" w:hanging="360"/>
      </w:pPr>
      <w:rPr>
        <w:rFonts w:hint="default"/>
      </w:rPr>
    </w:lvl>
    <w:lvl w:ilvl="1">
      <w:start w:val="1"/>
      <w:numFmt w:val="decimal"/>
      <w:lvlText w:val="%1.%2."/>
      <w:lvlJc w:val="left"/>
      <w:pPr>
        <w:ind w:left="360" w:hanging="360"/>
      </w:pPr>
      <w:rPr>
        <w:rFonts w:ascii="Century Gothic" w:hAnsi="Century Gothic" w:hint="default"/>
        <w:b/>
        <w:color w:val="000000"/>
        <w:sz w:val="14"/>
        <w:szCs w:val="14"/>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59">
    <w:nsid w:val="6FCC2594"/>
    <w:multiLevelType w:val="multilevel"/>
    <w:tmpl w:val="03AE6742"/>
    <w:lvl w:ilvl="0">
      <w:start w:val="4"/>
      <w:numFmt w:val="decimal"/>
      <w:lvlText w:val="%1."/>
      <w:lvlJc w:val="left"/>
      <w:pPr>
        <w:ind w:left="360" w:hanging="360"/>
      </w:pPr>
      <w:rPr>
        <w:rFonts w:hint="default"/>
      </w:rPr>
    </w:lvl>
    <w:lvl w:ilvl="1">
      <w:start w:val="1"/>
      <w:numFmt w:val="decimal"/>
      <w:lvlText w:val="%1.%2."/>
      <w:lvlJc w:val="left"/>
      <w:pPr>
        <w:ind w:left="360" w:hanging="360"/>
      </w:pPr>
      <w:rPr>
        <w:rFonts w:ascii="Century Gothic" w:hAnsi="Century Gothic" w:hint="default"/>
        <w:b/>
        <w:color w:val="000000"/>
        <w:sz w:val="14"/>
        <w:szCs w:val="14"/>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080" w:hanging="1080"/>
      </w:pPr>
      <w:rPr>
        <w:rFonts w:hint="default"/>
      </w:rPr>
    </w:lvl>
  </w:abstractNum>
  <w:abstractNum w:abstractNumId="60">
    <w:nsid w:val="70D31EE9"/>
    <w:multiLevelType w:val="hybridMultilevel"/>
    <w:tmpl w:val="1440518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70D448B1"/>
    <w:multiLevelType w:val="hybridMultilevel"/>
    <w:tmpl w:val="F0D0E586"/>
    <w:lvl w:ilvl="0" w:tplc="CE6EE9DA">
      <w:start w:val="1"/>
      <w:numFmt w:val="bullet"/>
      <w:lvlText w:val="–"/>
      <w:lvlJc w:val="left"/>
      <w:pPr>
        <w:ind w:left="720" w:hanging="360"/>
      </w:pPr>
      <w:rPr>
        <w:rFonts w:ascii="Calibri" w:hAnsi="Calibri" w:hint="default"/>
        <w:color w:val="404040"/>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722556D2"/>
    <w:multiLevelType w:val="hybridMultilevel"/>
    <w:tmpl w:val="1374B946"/>
    <w:lvl w:ilvl="0" w:tplc="CE6EE9DA">
      <w:start w:val="1"/>
      <w:numFmt w:val="bullet"/>
      <w:lvlText w:val="–"/>
      <w:lvlJc w:val="left"/>
      <w:pPr>
        <w:ind w:left="720" w:hanging="360"/>
      </w:pPr>
      <w:rPr>
        <w:rFonts w:ascii="Calibri" w:hAnsi="Calibri" w:hint="default"/>
        <w:color w:val="404040"/>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73137836"/>
    <w:multiLevelType w:val="hybridMultilevel"/>
    <w:tmpl w:val="29C85900"/>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78273294"/>
    <w:multiLevelType w:val="hybridMultilevel"/>
    <w:tmpl w:val="48847386"/>
    <w:lvl w:ilvl="0" w:tplc="4FE21610">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7A444991"/>
    <w:multiLevelType w:val="hybridMultilevel"/>
    <w:tmpl w:val="0CD6AE1E"/>
    <w:lvl w:ilvl="0" w:tplc="CE6EE9DA">
      <w:start w:val="1"/>
      <w:numFmt w:val="bullet"/>
      <w:lvlText w:val="–"/>
      <w:lvlJc w:val="left"/>
      <w:pPr>
        <w:ind w:left="720" w:hanging="360"/>
      </w:pPr>
      <w:rPr>
        <w:rFonts w:ascii="Calibri" w:hAnsi="Calibri" w:hint="default"/>
        <w:color w:val="404040"/>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nsid w:val="7EDB78D1"/>
    <w:multiLevelType w:val="hybridMultilevel"/>
    <w:tmpl w:val="82AA469E"/>
    <w:lvl w:ilvl="0" w:tplc="4FE21610">
      <w:start w:val="1"/>
      <w:numFmt w:val="bullet"/>
      <w:lvlText w:val="–"/>
      <w:lvlJc w:val="left"/>
      <w:pPr>
        <w:ind w:left="1430" w:hanging="360"/>
      </w:pPr>
      <w:rPr>
        <w:rFonts w:ascii="Calibri" w:hAnsi="Calibri" w:hint="default"/>
      </w:rPr>
    </w:lvl>
    <w:lvl w:ilvl="1" w:tplc="04150003" w:tentative="1">
      <w:start w:val="1"/>
      <w:numFmt w:val="bullet"/>
      <w:lvlText w:val="o"/>
      <w:lvlJc w:val="left"/>
      <w:pPr>
        <w:ind w:left="2150" w:hanging="360"/>
      </w:pPr>
      <w:rPr>
        <w:rFonts w:ascii="Courier New" w:hAnsi="Courier New" w:cs="Courier New" w:hint="default"/>
      </w:rPr>
    </w:lvl>
    <w:lvl w:ilvl="2" w:tplc="04150005" w:tentative="1">
      <w:start w:val="1"/>
      <w:numFmt w:val="bullet"/>
      <w:lvlText w:val=""/>
      <w:lvlJc w:val="left"/>
      <w:pPr>
        <w:ind w:left="2870" w:hanging="360"/>
      </w:pPr>
      <w:rPr>
        <w:rFonts w:ascii="Wingdings" w:hAnsi="Wingdings" w:hint="default"/>
      </w:rPr>
    </w:lvl>
    <w:lvl w:ilvl="3" w:tplc="04150001" w:tentative="1">
      <w:start w:val="1"/>
      <w:numFmt w:val="bullet"/>
      <w:lvlText w:val=""/>
      <w:lvlJc w:val="left"/>
      <w:pPr>
        <w:ind w:left="3590" w:hanging="360"/>
      </w:pPr>
      <w:rPr>
        <w:rFonts w:ascii="Symbol" w:hAnsi="Symbol" w:hint="default"/>
      </w:rPr>
    </w:lvl>
    <w:lvl w:ilvl="4" w:tplc="04150003" w:tentative="1">
      <w:start w:val="1"/>
      <w:numFmt w:val="bullet"/>
      <w:lvlText w:val="o"/>
      <w:lvlJc w:val="left"/>
      <w:pPr>
        <w:ind w:left="4310" w:hanging="360"/>
      </w:pPr>
      <w:rPr>
        <w:rFonts w:ascii="Courier New" w:hAnsi="Courier New" w:cs="Courier New" w:hint="default"/>
      </w:rPr>
    </w:lvl>
    <w:lvl w:ilvl="5" w:tplc="04150005" w:tentative="1">
      <w:start w:val="1"/>
      <w:numFmt w:val="bullet"/>
      <w:lvlText w:val=""/>
      <w:lvlJc w:val="left"/>
      <w:pPr>
        <w:ind w:left="5030" w:hanging="360"/>
      </w:pPr>
      <w:rPr>
        <w:rFonts w:ascii="Wingdings" w:hAnsi="Wingdings" w:hint="default"/>
      </w:rPr>
    </w:lvl>
    <w:lvl w:ilvl="6" w:tplc="04150001" w:tentative="1">
      <w:start w:val="1"/>
      <w:numFmt w:val="bullet"/>
      <w:lvlText w:val=""/>
      <w:lvlJc w:val="left"/>
      <w:pPr>
        <w:ind w:left="5750" w:hanging="360"/>
      </w:pPr>
      <w:rPr>
        <w:rFonts w:ascii="Symbol" w:hAnsi="Symbol" w:hint="default"/>
      </w:rPr>
    </w:lvl>
    <w:lvl w:ilvl="7" w:tplc="04150003" w:tentative="1">
      <w:start w:val="1"/>
      <w:numFmt w:val="bullet"/>
      <w:lvlText w:val="o"/>
      <w:lvlJc w:val="left"/>
      <w:pPr>
        <w:ind w:left="6470" w:hanging="360"/>
      </w:pPr>
      <w:rPr>
        <w:rFonts w:ascii="Courier New" w:hAnsi="Courier New" w:cs="Courier New" w:hint="default"/>
      </w:rPr>
    </w:lvl>
    <w:lvl w:ilvl="8" w:tplc="04150005" w:tentative="1">
      <w:start w:val="1"/>
      <w:numFmt w:val="bullet"/>
      <w:lvlText w:val=""/>
      <w:lvlJc w:val="left"/>
      <w:pPr>
        <w:ind w:left="7190" w:hanging="360"/>
      </w:pPr>
      <w:rPr>
        <w:rFonts w:ascii="Wingdings" w:hAnsi="Wingdings" w:hint="default"/>
      </w:rPr>
    </w:lvl>
  </w:abstractNum>
  <w:abstractNum w:abstractNumId="67">
    <w:nsid w:val="7F4547AB"/>
    <w:multiLevelType w:val="hybridMultilevel"/>
    <w:tmpl w:val="3E5CDC68"/>
    <w:lvl w:ilvl="0" w:tplc="CE6EE9DA">
      <w:start w:val="1"/>
      <w:numFmt w:val="bullet"/>
      <w:lvlText w:val="–"/>
      <w:lvlJc w:val="left"/>
      <w:pPr>
        <w:ind w:left="720" w:hanging="360"/>
      </w:pPr>
      <w:rPr>
        <w:rFonts w:ascii="Calibri" w:hAnsi="Calibri" w:hint="default"/>
        <w:color w:val="404040"/>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5"/>
  </w:num>
  <w:num w:numId="2">
    <w:abstractNumId w:val="45"/>
  </w:num>
  <w:num w:numId="3">
    <w:abstractNumId w:val="47"/>
  </w:num>
  <w:num w:numId="4">
    <w:abstractNumId w:val="27"/>
  </w:num>
  <w:num w:numId="5">
    <w:abstractNumId w:val="14"/>
  </w:num>
  <w:num w:numId="6">
    <w:abstractNumId w:val="46"/>
  </w:num>
  <w:num w:numId="7">
    <w:abstractNumId w:val="26"/>
  </w:num>
  <w:num w:numId="8">
    <w:abstractNumId w:val="12"/>
  </w:num>
  <w:num w:numId="9">
    <w:abstractNumId w:val="51"/>
  </w:num>
  <w:num w:numId="10">
    <w:abstractNumId w:val="24"/>
  </w:num>
  <w:num w:numId="11">
    <w:abstractNumId w:val="8"/>
  </w:num>
  <w:num w:numId="12">
    <w:abstractNumId w:val="50"/>
  </w:num>
  <w:num w:numId="13">
    <w:abstractNumId w:val="53"/>
  </w:num>
  <w:num w:numId="14">
    <w:abstractNumId w:val="53"/>
    <w:lvlOverride w:ilvl="0">
      <w:startOverride w:val="1"/>
    </w:lvlOverride>
  </w:num>
  <w:num w:numId="15">
    <w:abstractNumId w:val="0"/>
  </w:num>
  <w:num w:numId="16">
    <w:abstractNumId w:val="36"/>
  </w:num>
  <w:num w:numId="17">
    <w:abstractNumId w:val="20"/>
  </w:num>
  <w:num w:numId="18">
    <w:abstractNumId w:val="44"/>
  </w:num>
  <w:num w:numId="19">
    <w:abstractNumId w:val="6"/>
  </w:num>
  <w:num w:numId="20">
    <w:abstractNumId w:val="9"/>
  </w:num>
  <w:num w:numId="21">
    <w:abstractNumId w:val="22"/>
  </w:num>
  <w:num w:numId="22">
    <w:abstractNumId w:val="55"/>
  </w:num>
  <w:num w:numId="23">
    <w:abstractNumId w:val="34"/>
  </w:num>
  <w:num w:numId="24">
    <w:abstractNumId w:val="33"/>
  </w:num>
  <w:num w:numId="25">
    <w:abstractNumId w:val="21"/>
  </w:num>
  <w:num w:numId="26">
    <w:abstractNumId w:val="16"/>
  </w:num>
  <w:num w:numId="27">
    <w:abstractNumId w:val="42"/>
  </w:num>
  <w:num w:numId="28">
    <w:abstractNumId w:val="66"/>
  </w:num>
  <w:num w:numId="29">
    <w:abstractNumId w:val="3"/>
  </w:num>
  <w:num w:numId="30">
    <w:abstractNumId w:val="43"/>
  </w:num>
  <w:num w:numId="31">
    <w:abstractNumId w:val="17"/>
  </w:num>
  <w:num w:numId="32">
    <w:abstractNumId w:val="39"/>
  </w:num>
  <w:num w:numId="33">
    <w:abstractNumId w:val="4"/>
  </w:num>
  <w:num w:numId="34">
    <w:abstractNumId w:val="41"/>
  </w:num>
  <w:num w:numId="35">
    <w:abstractNumId w:val="60"/>
  </w:num>
  <w:num w:numId="36">
    <w:abstractNumId w:val="40"/>
  </w:num>
  <w:num w:numId="37">
    <w:abstractNumId w:val="29"/>
  </w:num>
  <w:num w:numId="38">
    <w:abstractNumId w:val="64"/>
  </w:num>
  <w:num w:numId="39">
    <w:abstractNumId w:val="63"/>
  </w:num>
  <w:num w:numId="40">
    <w:abstractNumId w:val="7"/>
  </w:num>
  <w:num w:numId="41">
    <w:abstractNumId w:val="35"/>
  </w:num>
  <w:num w:numId="42">
    <w:abstractNumId w:val="54"/>
  </w:num>
  <w:num w:numId="43">
    <w:abstractNumId w:val="25"/>
  </w:num>
  <w:num w:numId="44">
    <w:abstractNumId w:val="58"/>
  </w:num>
  <w:num w:numId="45">
    <w:abstractNumId w:val="11"/>
  </w:num>
  <w:num w:numId="46">
    <w:abstractNumId w:val="59"/>
  </w:num>
  <w:num w:numId="47">
    <w:abstractNumId w:val="56"/>
  </w:num>
  <w:num w:numId="48">
    <w:abstractNumId w:val="32"/>
  </w:num>
  <w:num w:numId="49">
    <w:abstractNumId w:val="18"/>
  </w:num>
  <w:num w:numId="50">
    <w:abstractNumId w:val="61"/>
  </w:num>
  <w:num w:numId="51">
    <w:abstractNumId w:val="65"/>
  </w:num>
  <w:num w:numId="52">
    <w:abstractNumId w:val="67"/>
  </w:num>
  <w:num w:numId="53">
    <w:abstractNumId w:val="48"/>
  </w:num>
  <w:num w:numId="54">
    <w:abstractNumId w:val="62"/>
  </w:num>
  <w:num w:numId="55">
    <w:abstractNumId w:val="28"/>
  </w:num>
  <w:num w:numId="56">
    <w:abstractNumId w:val="37"/>
  </w:num>
  <w:num w:numId="57">
    <w:abstractNumId w:val="13"/>
  </w:num>
  <w:num w:numId="58">
    <w:abstractNumId w:val="38"/>
  </w:num>
  <w:num w:numId="59">
    <w:abstractNumId w:val="5"/>
  </w:num>
  <w:num w:numId="60">
    <w:abstractNumId w:val="19"/>
  </w:num>
  <w:num w:numId="61">
    <w:abstractNumId w:val="52"/>
  </w:num>
  <w:num w:numId="62">
    <w:abstractNumId w:val="57"/>
  </w:num>
  <w:num w:numId="63">
    <w:abstractNumId w:val="30"/>
  </w:num>
  <w:num w:numId="64">
    <w:abstractNumId w:val="2"/>
  </w:num>
  <w:num w:numId="65">
    <w:abstractNumId w:val="10"/>
  </w:num>
  <w:num w:numId="66">
    <w:abstractNumId w:val="49"/>
  </w:num>
  <w:num w:numId="67">
    <w:abstractNumId w:val="1"/>
  </w:num>
  <w:num w:numId="68">
    <w:abstractNumId w:val="23"/>
  </w:num>
  <w:num w:numId="69">
    <w:abstractNumId w:val="31"/>
  </w:num>
  <w:numIdMacAtCleanup w:val="6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defaultTabStop w:val="708"/>
  <w:hyphenationZone w:val="425"/>
  <w:characterSpacingControl w:val="doNotCompress"/>
  <w:hdrShapeDefaults>
    <o:shapedefaults v:ext="edit" spidmax="5122"/>
    <o:shapelayout v:ext="edit">
      <o:idmap v:ext="edit" data="4"/>
      <o:rules v:ext="edit">
        <o:r id="V:Rule1" type="connector" idref="#Łącznik prosty ze strzałką 3076"/>
        <o:r id="V:Rule2" type="connector" idref="#Łącznik prosty ze strzałką 55"/>
      </o:rules>
    </o:shapelayout>
  </w:hdrShapeDefaults>
  <w:footnotePr>
    <w:footnote w:id="-1"/>
    <w:footnote w:id="0"/>
  </w:footnotePr>
  <w:endnotePr>
    <w:endnote w:id="-1"/>
    <w:endnote w:id="0"/>
  </w:endnotePr>
  <w:compat/>
  <w:rsids>
    <w:rsidRoot w:val="00065BCE"/>
    <w:rsid w:val="00000DB5"/>
    <w:rsid w:val="0000358F"/>
    <w:rsid w:val="00004359"/>
    <w:rsid w:val="00005695"/>
    <w:rsid w:val="000130BF"/>
    <w:rsid w:val="00015703"/>
    <w:rsid w:val="00025589"/>
    <w:rsid w:val="00031061"/>
    <w:rsid w:val="0003504E"/>
    <w:rsid w:val="000358EC"/>
    <w:rsid w:val="00035B17"/>
    <w:rsid w:val="00037D01"/>
    <w:rsid w:val="00040546"/>
    <w:rsid w:val="00041CA2"/>
    <w:rsid w:val="00042575"/>
    <w:rsid w:val="00044CDB"/>
    <w:rsid w:val="00045CA0"/>
    <w:rsid w:val="00050BBF"/>
    <w:rsid w:val="00053C57"/>
    <w:rsid w:val="00053E09"/>
    <w:rsid w:val="0005543B"/>
    <w:rsid w:val="0005749C"/>
    <w:rsid w:val="0005788C"/>
    <w:rsid w:val="00057B01"/>
    <w:rsid w:val="00062DD1"/>
    <w:rsid w:val="00065BCE"/>
    <w:rsid w:val="000666B0"/>
    <w:rsid w:val="00070A9F"/>
    <w:rsid w:val="00073883"/>
    <w:rsid w:val="00075C1B"/>
    <w:rsid w:val="00077126"/>
    <w:rsid w:val="0008210C"/>
    <w:rsid w:val="000851CA"/>
    <w:rsid w:val="00085DCB"/>
    <w:rsid w:val="00086417"/>
    <w:rsid w:val="0008736D"/>
    <w:rsid w:val="0008799C"/>
    <w:rsid w:val="000918CF"/>
    <w:rsid w:val="0009332D"/>
    <w:rsid w:val="00093702"/>
    <w:rsid w:val="000A0723"/>
    <w:rsid w:val="000A232D"/>
    <w:rsid w:val="000A3E97"/>
    <w:rsid w:val="000A5430"/>
    <w:rsid w:val="000B07FD"/>
    <w:rsid w:val="000B39B8"/>
    <w:rsid w:val="000B413B"/>
    <w:rsid w:val="000B6DAA"/>
    <w:rsid w:val="000B70CA"/>
    <w:rsid w:val="000C005B"/>
    <w:rsid w:val="000C5B9E"/>
    <w:rsid w:val="000C6BE4"/>
    <w:rsid w:val="000C7B2D"/>
    <w:rsid w:val="000D0229"/>
    <w:rsid w:val="000D1592"/>
    <w:rsid w:val="000D1F19"/>
    <w:rsid w:val="000D32AA"/>
    <w:rsid w:val="000E1AC3"/>
    <w:rsid w:val="000E1B32"/>
    <w:rsid w:val="000E4ED3"/>
    <w:rsid w:val="000E6BBD"/>
    <w:rsid w:val="000F375E"/>
    <w:rsid w:val="000F3A36"/>
    <w:rsid w:val="00101904"/>
    <w:rsid w:val="001038BC"/>
    <w:rsid w:val="00105474"/>
    <w:rsid w:val="001067C6"/>
    <w:rsid w:val="00120D2B"/>
    <w:rsid w:val="00122BAB"/>
    <w:rsid w:val="001251C7"/>
    <w:rsid w:val="00125BA4"/>
    <w:rsid w:val="0013042B"/>
    <w:rsid w:val="00130E5F"/>
    <w:rsid w:val="0013132B"/>
    <w:rsid w:val="00131884"/>
    <w:rsid w:val="001331EE"/>
    <w:rsid w:val="001339DC"/>
    <w:rsid w:val="0013522B"/>
    <w:rsid w:val="0013565F"/>
    <w:rsid w:val="00135C08"/>
    <w:rsid w:val="00137E57"/>
    <w:rsid w:val="00140858"/>
    <w:rsid w:val="00143EAA"/>
    <w:rsid w:val="00144223"/>
    <w:rsid w:val="00151D37"/>
    <w:rsid w:val="00152965"/>
    <w:rsid w:val="00156E3A"/>
    <w:rsid w:val="0015792E"/>
    <w:rsid w:val="00160008"/>
    <w:rsid w:val="0016085C"/>
    <w:rsid w:val="00162FB0"/>
    <w:rsid w:val="001647DA"/>
    <w:rsid w:val="0016697F"/>
    <w:rsid w:val="001704B1"/>
    <w:rsid w:val="00171913"/>
    <w:rsid w:val="00172485"/>
    <w:rsid w:val="001729A2"/>
    <w:rsid w:val="00172F0D"/>
    <w:rsid w:val="00177C1F"/>
    <w:rsid w:val="00182A93"/>
    <w:rsid w:val="00186762"/>
    <w:rsid w:val="00191A1B"/>
    <w:rsid w:val="00192DB4"/>
    <w:rsid w:val="00194077"/>
    <w:rsid w:val="001A066C"/>
    <w:rsid w:val="001A0A84"/>
    <w:rsid w:val="001A1B70"/>
    <w:rsid w:val="001A3B8F"/>
    <w:rsid w:val="001A4791"/>
    <w:rsid w:val="001B02CD"/>
    <w:rsid w:val="001B1A15"/>
    <w:rsid w:val="001B6826"/>
    <w:rsid w:val="001C0CAC"/>
    <w:rsid w:val="001D04AC"/>
    <w:rsid w:val="001D0AF8"/>
    <w:rsid w:val="001D1B69"/>
    <w:rsid w:val="001D3635"/>
    <w:rsid w:val="001D40BA"/>
    <w:rsid w:val="001D43A6"/>
    <w:rsid w:val="001D48C0"/>
    <w:rsid w:val="001D6040"/>
    <w:rsid w:val="001E2691"/>
    <w:rsid w:val="001E47CF"/>
    <w:rsid w:val="001E71C6"/>
    <w:rsid w:val="001F084D"/>
    <w:rsid w:val="001F479E"/>
    <w:rsid w:val="001F50CE"/>
    <w:rsid w:val="00201D3F"/>
    <w:rsid w:val="002050A7"/>
    <w:rsid w:val="0021773B"/>
    <w:rsid w:val="002232C7"/>
    <w:rsid w:val="002237EA"/>
    <w:rsid w:val="002240A5"/>
    <w:rsid w:val="0022557E"/>
    <w:rsid w:val="00225B6D"/>
    <w:rsid w:val="00233820"/>
    <w:rsid w:val="00233FD3"/>
    <w:rsid w:val="0023788E"/>
    <w:rsid w:val="002433C1"/>
    <w:rsid w:val="00250CFA"/>
    <w:rsid w:val="002515B8"/>
    <w:rsid w:val="00252C17"/>
    <w:rsid w:val="002536DF"/>
    <w:rsid w:val="00254205"/>
    <w:rsid w:val="0025610F"/>
    <w:rsid w:val="002566E3"/>
    <w:rsid w:val="002576FC"/>
    <w:rsid w:val="00261381"/>
    <w:rsid w:val="00263DB8"/>
    <w:rsid w:val="0026567A"/>
    <w:rsid w:val="00265ECE"/>
    <w:rsid w:val="00266543"/>
    <w:rsid w:val="0027279D"/>
    <w:rsid w:val="00276777"/>
    <w:rsid w:val="002865D3"/>
    <w:rsid w:val="00290CE1"/>
    <w:rsid w:val="00293D53"/>
    <w:rsid w:val="00293D60"/>
    <w:rsid w:val="002949AC"/>
    <w:rsid w:val="00295755"/>
    <w:rsid w:val="00295EFF"/>
    <w:rsid w:val="00296A98"/>
    <w:rsid w:val="0029757C"/>
    <w:rsid w:val="002A0928"/>
    <w:rsid w:val="002A6377"/>
    <w:rsid w:val="002B7DC6"/>
    <w:rsid w:val="002C5E02"/>
    <w:rsid w:val="002C784B"/>
    <w:rsid w:val="002D0A1A"/>
    <w:rsid w:val="002D199F"/>
    <w:rsid w:val="002D2799"/>
    <w:rsid w:val="002D3C88"/>
    <w:rsid w:val="002D75B4"/>
    <w:rsid w:val="002E0272"/>
    <w:rsid w:val="002E0F2A"/>
    <w:rsid w:val="002E3FB0"/>
    <w:rsid w:val="002E7575"/>
    <w:rsid w:val="002F0735"/>
    <w:rsid w:val="002F0848"/>
    <w:rsid w:val="002F7918"/>
    <w:rsid w:val="002F7BDC"/>
    <w:rsid w:val="003003BD"/>
    <w:rsid w:val="003008F7"/>
    <w:rsid w:val="003022FC"/>
    <w:rsid w:val="003024EB"/>
    <w:rsid w:val="00303C27"/>
    <w:rsid w:val="003041B5"/>
    <w:rsid w:val="0031270E"/>
    <w:rsid w:val="003129C3"/>
    <w:rsid w:val="0031490F"/>
    <w:rsid w:val="00316CB5"/>
    <w:rsid w:val="00316F3F"/>
    <w:rsid w:val="00324E63"/>
    <w:rsid w:val="003253AF"/>
    <w:rsid w:val="00331584"/>
    <w:rsid w:val="00331B1F"/>
    <w:rsid w:val="00334E75"/>
    <w:rsid w:val="00337035"/>
    <w:rsid w:val="00337F6A"/>
    <w:rsid w:val="00340AB1"/>
    <w:rsid w:val="0034218B"/>
    <w:rsid w:val="00343769"/>
    <w:rsid w:val="00351768"/>
    <w:rsid w:val="00354D6C"/>
    <w:rsid w:val="003557AE"/>
    <w:rsid w:val="00356868"/>
    <w:rsid w:val="00361F3C"/>
    <w:rsid w:val="00363A97"/>
    <w:rsid w:val="00367462"/>
    <w:rsid w:val="00372836"/>
    <w:rsid w:val="003729C7"/>
    <w:rsid w:val="00372CC3"/>
    <w:rsid w:val="00373956"/>
    <w:rsid w:val="00374888"/>
    <w:rsid w:val="003825D1"/>
    <w:rsid w:val="0038517C"/>
    <w:rsid w:val="00386A21"/>
    <w:rsid w:val="00392320"/>
    <w:rsid w:val="00392B12"/>
    <w:rsid w:val="00392F67"/>
    <w:rsid w:val="003935A2"/>
    <w:rsid w:val="00394337"/>
    <w:rsid w:val="003A0D67"/>
    <w:rsid w:val="003A20F6"/>
    <w:rsid w:val="003A4E8D"/>
    <w:rsid w:val="003A5112"/>
    <w:rsid w:val="003A72FB"/>
    <w:rsid w:val="003A77D8"/>
    <w:rsid w:val="003B7178"/>
    <w:rsid w:val="003C07B2"/>
    <w:rsid w:val="003C0FE7"/>
    <w:rsid w:val="003D3E80"/>
    <w:rsid w:val="003D40BA"/>
    <w:rsid w:val="003D65A2"/>
    <w:rsid w:val="003D6FB7"/>
    <w:rsid w:val="003E0C12"/>
    <w:rsid w:val="003E2BC8"/>
    <w:rsid w:val="003E37DE"/>
    <w:rsid w:val="003E3B04"/>
    <w:rsid w:val="003E3B33"/>
    <w:rsid w:val="003E3CAA"/>
    <w:rsid w:val="003E44D8"/>
    <w:rsid w:val="003E527B"/>
    <w:rsid w:val="003E5CC8"/>
    <w:rsid w:val="003E5F15"/>
    <w:rsid w:val="003E72CC"/>
    <w:rsid w:val="003E733D"/>
    <w:rsid w:val="003F1B30"/>
    <w:rsid w:val="003F70EE"/>
    <w:rsid w:val="00403099"/>
    <w:rsid w:val="00405FC3"/>
    <w:rsid w:val="0041150C"/>
    <w:rsid w:val="004120BE"/>
    <w:rsid w:val="00412396"/>
    <w:rsid w:val="00414E34"/>
    <w:rsid w:val="0042110F"/>
    <w:rsid w:val="00425DDD"/>
    <w:rsid w:val="00427576"/>
    <w:rsid w:val="004304D6"/>
    <w:rsid w:val="00434041"/>
    <w:rsid w:val="00434A29"/>
    <w:rsid w:val="00435894"/>
    <w:rsid w:val="00441D5E"/>
    <w:rsid w:val="00442935"/>
    <w:rsid w:val="00444F68"/>
    <w:rsid w:val="00447A1A"/>
    <w:rsid w:val="0045474E"/>
    <w:rsid w:val="00455DB0"/>
    <w:rsid w:val="00455F65"/>
    <w:rsid w:val="004624A5"/>
    <w:rsid w:val="00463ADA"/>
    <w:rsid w:val="00466FBB"/>
    <w:rsid w:val="004725E5"/>
    <w:rsid w:val="00472E49"/>
    <w:rsid w:val="004746B2"/>
    <w:rsid w:val="00486601"/>
    <w:rsid w:val="0049092F"/>
    <w:rsid w:val="004931A8"/>
    <w:rsid w:val="00493709"/>
    <w:rsid w:val="00496048"/>
    <w:rsid w:val="004964B3"/>
    <w:rsid w:val="00497871"/>
    <w:rsid w:val="004A22E6"/>
    <w:rsid w:val="004A6D9F"/>
    <w:rsid w:val="004B0E5A"/>
    <w:rsid w:val="004B2FA8"/>
    <w:rsid w:val="004B35FE"/>
    <w:rsid w:val="004B3BD1"/>
    <w:rsid w:val="004B45E8"/>
    <w:rsid w:val="004B5B98"/>
    <w:rsid w:val="004B64E2"/>
    <w:rsid w:val="004C1568"/>
    <w:rsid w:val="004C2A48"/>
    <w:rsid w:val="004C4CF9"/>
    <w:rsid w:val="004C4F03"/>
    <w:rsid w:val="004C5D0A"/>
    <w:rsid w:val="004C66A9"/>
    <w:rsid w:val="004C717D"/>
    <w:rsid w:val="004D0E36"/>
    <w:rsid w:val="004D1094"/>
    <w:rsid w:val="004D20C6"/>
    <w:rsid w:val="004D6D17"/>
    <w:rsid w:val="004E1B77"/>
    <w:rsid w:val="004E6A93"/>
    <w:rsid w:val="004E6F3A"/>
    <w:rsid w:val="004E7BA3"/>
    <w:rsid w:val="004F0498"/>
    <w:rsid w:val="004F75D9"/>
    <w:rsid w:val="00500B80"/>
    <w:rsid w:val="0050133B"/>
    <w:rsid w:val="0050399E"/>
    <w:rsid w:val="0051097A"/>
    <w:rsid w:val="00511650"/>
    <w:rsid w:val="00516F4C"/>
    <w:rsid w:val="00521923"/>
    <w:rsid w:val="00521936"/>
    <w:rsid w:val="00523E40"/>
    <w:rsid w:val="00527648"/>
    <w:rsid w:val="00532F6F"/>
    <w:rsid w:val="00533740"/>
    <w:rsid w:val="005361A0"/>
    <w:rsid w:val="00536F28"/>
    <w:rsid w:val="00542530"/>
    <w:rsid w:val="005461BC"/>
    <w:rsid w:val="00551056"/>
    <w:rsid w:val="005534AC"/>
    <w:rsid w:val="00555D92"/>
    <w:rsid w:val="0055701D"/>
    <w:rsid w:val="00563586"/>
    <w:rsid w:val="00565F68"/>
    <w:rsid w:val="00566FA1"/>
    <w:rsid w:val="005728D9"/>
    <w:rsid w:val="00577CC9"/>
    <w:rsid w:val="00577E02"/>
    <w:rsid w:val="00580D00"/>
    <w:rsid w:val="00581F70"/>
    <w:rsid w:val="005831A3"/>
    <w:rsid w:val="005835BE"/>
    <w:rsid w:val="0059045B"/>
    <w:rsid w:val="00595F55"/>
    <w:rsid w:val="005971D5"/>
    <w:rsid w:val="005A2C29"/>
    <w:rsid w:val="005A3B9F"/>
    <w:rsid w:val="005A512D"/>
    <w:rsid w:val="005A7DA1"/>
    <w:rsid w:val="005B2214"/>
    <w:rsid w:val="005B452D"/>
    <w:rsid w:val="005B5388"/>
    <w:rsid w:val="005B6122"/>
    <w:rsid w:val="005B6AFA"/>
    <w:rsid w:val="005B6F9D"/>
    <w:rsid w:val="005C0F22"/>
    <w:rsid w:val="005C0FC1"/>
    <w:rsid w:val="005C1788"/>
    <w:rsid w:val="005C40BE"/>
    <w:rsid w:val="005C4EDD"/>
    <w:rsid w:val="005D0C71"/>
    <w:rsid w:val="005D167F"/>
    <w:rsid w:val="005D1D48"/>
    <w:rsid w:val="005D2793"/>
    <w:rsid w:val="005D305E"/>
    <w:rsid w:val="005D39A8"/>
    <w:rsid w:val="005D433D"/>
    <w:rsid w:val="005D4869"/>
    <w:rsid w:val="005D557C"/>
    <w:rsid w:val="005D5997"/>
    <w:rsid w:val="005D5F35"/>
    <w:rsid w:val="005D6360"/>
    <w:rsid w:val="005D6D4A"/>
    <w:rsid w:val="005D7C7C"/>
    <w:rsid w:val="005E07FA"/>
    <w:rsid w:val="005E2326"/>
    <w:rsid w:val="005E351F"/>
    <w:rsid w:val="005E4BF8"/>
    <w:rsid w:val="005F10CB"/>
    <w:rsid w:val="005F25D8"/>
    <w:rsid w:val="005F2AF2"/>
    <w:rsid w:val="005F2FC7"/>
    <w:rsid w:val="005F49A2"/>
    <w:rsid w:val="00604D36"/>
    <w:rsid w:val="00605E4B"/>
    <w:rsid w:val="0060611E"/>
    <w:rsid w:val="00606D71"/>
    <w:rsid w:val="00607F25"/>
    <w:rsid w:val="0061081B"/>
    <w:rsid w:val="00614590"/>
    <w:rsid w:val="006146A6"/>
    <w:rsid w:val="006204D0"/>
    <w:rsid w:val="006210EE"/>
    <w:rsid w:val="00621216"/>
    <w:rsid w:val="0062270E"/>
    <w:rsid w:val="00625740"/>
    <w:rsid w:val="00626FB8"/>
    <w:rsid w:val="00627DD7"/>
    <w:rsid w:val="006325E3"/>
    <w:rsid w:val="0063309B"/>
    <w:rsid w:val="00636520"/>
    <w:rsid w:val="00636AEE"/>
    <w:rsid w:val="00640C8C"/>
    <w:rsid w:val="00641928"/>
    <w:rsid w:val="00644A74"/>
    <w:rsid w:val="006517C0"/>
    <w:rsid w:val="00656B2D"/>
    <w:rsid w:val="00657BFF"/>
    <w:rsid w:val="00662EE2"/>
    <w:rsid w:val="006648C8"/>
    <w:rsid w:val="006657DE"/>
    <w:rsid w:val="00680242"/>
    <w:rsid w:val="006806FF"/>
    <w:rsid w:val="00680744"/>
    <w:rsid w:val="0069116B"/>
    <w:rsid w:val="00691FEE"/>
    <w:rsid w:val="00692545"/>
    <w:rsid w:val="006939E5"/>
    <w:rsid w:val="0069720B"/>
    <w:rsid w:val="006A31A7"/>
    <w:rsid w:val="006A721D"/>
    <w:rsid w:val="006A749D"/>
    <w:rsid w:val="006A7DAA"/>
    <w:rsid w:val="006B123B"/>
    <w:rsid w:val="006B2882"/>
    <w:rsid w:val="006B4179"/>
    <w:rsid w:val="006B44F9"/>
    <w:rsid w:val="006B49A7"/>
    <w:rsid w:val="006B61AB"/>
    <w:rsid w:val="006B79DC"/>
    <w:rsid w:val="006C024B"/>
    <w:rsid w:val="006C152D"/>
    <w:rsid w:val="006C2D4A"/>
    <w:rsid w:val="006C4680"/>
    <w:rsid w:val="006C61A1"/>
    <w:rsid w:val="006C7610"/>
    <w:rsid w:val="006D0824"/>
    <w:rsid w:val="006D13A7"/>
    <w:rsid w:val="006D5CD5"/>
    <w:rsid w:val="006D7E13"/>
    <w:rsid w:val="006E5168"/>
    <w:rsid w:val="006E6475"/>
    <w:rsid w:val="006E6A63"/>
    <w:rsid w:val="006E6D95"/>
    <w:rsid w:val="006E770C"/>
    <w:rsid w:val="006F023B"/>
    <w:rsid w:val="006F03F2"/>
    <w:rsid w:val="00703533"/>
    <w:rsid w:val="00703EEA"/>
    <w:rsid w:val="007109FE"/>
    <w:rsid w:val="00712792"/>
    <w:rsid w:val="0071313D"/>
    <w:rsid w:val="00724079"/>
    <w:rsid w:val="0072612B"/>
    <w:rsid w:val="00731209"/>
    <w:rsid w:val="007324AE"/>
    <w:rsid w:val="0073264B"/>
    <w:rsid w:val="00732A12"/>
    <w:rsid w:val="00733ED5"/>
    <w:rsid w:val="007409E5"/>
    <w:rsid w:val="00742928"/>
    <w:rsid w:val="00745396"/>
    <w:rsid w:val="00746E6D"/>
    <w:rsid w:val="007505CB"/>
    <w:rsid w:val="00755330"/>
    <w:rsid w:val="00760E24"/>
    <w:rsid w:val="00764B44"/>
    <w:rsid w:val="00765292"/>
    <w:rsid w:val="007678DB"/>
    <w:rsid w:val="00770CED"/>
    <w:rsid w:val="00770DA6"/>
    <w:rsid w:val="00771274"/>
    <w:rsid w:val="007713B9"/>
    <w:rsid w:val="00772BD6"/>
    <w:rsid w:val="00773151"/>
    <w:rsid w:val="0077724C"/>
    <w:rsid w:val="00783178"/>
    <w:rsid w:val="00784D72"/>
    <w:rsid w:val="00785096"/>
    <w:rsid w:val="0078536D"/>
    <w:rsid w:val="00785A3E"/>
    <w:rsid w:val="00793A1B"/>
    <w:rsid w:val="00794CE1"/>
    <w:rsid w:val="0079654C"/>
    <w:rsid w:val="007966DD"/>
    <w:rsid w:val="007A0425"/>
    <w:rsid w:val="007A1A15"/>
    <w:rsid w:val="007A3069"/>
    <w:rsid w:val="007A3943"/>
    <w:rsid w:val="007A3F12"/>
    <w:rsid w:val="007A42D5"/>
    <w:rsid w:val="007B0DE0"/>
    <w:rsid w:val="007B740D"/>
    <w:rsid w:val="007C1F25"/>
    <w:rsid w:val="007C6089"/>
    <w:rsid w:val="007C727C"/>
    <w:rsid w:val="007D10B3"/>
    <w:rsid w:val="007D3630"/>
    <w:rsid w:val="007D6038"/>
    <w:rsid w:val="007D6252"/>
    <w:rsid w:val="007D6B27"/>
    <w:rsid w:val="007E3911"/>
    <w:rsid w:val="007E3EA9"/>
    <w:rsid w:val="007E7097"/>
    <w:rsid w:val="007E7CC7"/>
    <w:rsid w:val="007F1A28"/>
    <w:rsid w:val="007F1F6F"/>
    <w:rsid w:val="007F5992"/>
    <w:rsid w:val="007F5FBA"/>
    <w:rsid w:val="007F7B3C"/>
    <w:rsid w:val="007F7BD5"/>
    <w:rsid w:val="008005B2"/>
    <w:rsid w:val="00804170"/>
    <w:rsid w:val="00805450"/>
    <w:rsid w:val="008063ED"/>
    <w:rsid w:val="00807A6F"/>
    <w:rsid w:val="00814A82"/>
    <w:rsid w:val="008167B1"/>
    <w:rsid w:val="0082157C"/>
    <w:rsid w:val="00823D6F"/>
    <w:rsid w:val="00831ECF"/>
    <w:rsid w:val="008347B7"/>
    <w:rsid w:val="00835A3F"/>
    <w:rsid w:val="00836509"/>
    <w:rsid w:val="008433FB"/>
    <w:rsid w:val="00846B7B"/>
    <w:rsid w:val="00852357"/>
    <w:rsid w:val="00857550"/>
    <w:rsid w:val="00857B47"/>
    <w:rsid w:val="008610F6"/>
    <w:rsid w:val="00861308"/>
    <w:rsid w:val="00863546"/>
    <w:rsid w:val="008636EC"/>
    <w:rsid w:val="008658E3"/>
    <w:rsid w:val="00871356"/>
    <w:rsid w:val="008725E7"/>
    <w:rsid w:val="008749C9"/>
    <w:rsid w:val="0087706D"/>
    <w:rsid w:val="008776C7"/>
    <w:rsid w:val="008862DD"/>
    <w:rsid w:val="00887CEA"/>
    <w:rsid w:val="00896E5C"/>
    <w:rsid w:val="008970E8"/>
    <w:rsid w:val="008A26B5"/>
    <w:rsid w:val="008A4166"/>
    <w:rsid w:val="008A4860"/>
    <w:rsid w:val="008B25D6"/>
    <w:rsid w:val="008B2CF8"/>
    <w:rsid w:val="008B3650"/>
    <w:rsid w:val="008B38D2"/>
    <w:rsid w:val="008B5484"/>
    <w:rsid w:val="008B7FEF"/>
    <w:rsid w:val="008C19D4"/>
    <w:rsid w:val="008C41B7"/>
    <w:rsid w:val="008C5872"/>
    <w:rsid w:val="008C64AB"/>
    <w:rsid w:val="008D344C"/>
    <w:rsid w:val="008D38AA"/>
    <w:rsid w:val="008D3D26"/>
    <w:rsid w:val="008E034C"/>
    <w:rsid w:val="008E2D7D"/>
    <w:rsid w:val="008E5A57"/>
    <w:rsid w:val="008E7923"/>
    <w:rsid w:val="008F1847"/>
    <w:rsid w:val="008F41FC"/>
    <w:rsid w:val="008F5C85"/>
    <w:rsid w:val="008F71EA"/>
    <w:rsid w:val="008F7CED"/>
    <w:rsid w:val="009012BB"/>
    <w:rsid w:val="00901C68"/>
    <w:rsid w:val="00902CC6"/>
    <w:rsid w:val="00905F49"/>
    <w:rsid w:val="00914398"/>
    <w:rsid w:val="00915869"/>
    <w:rsid w:val="009171DB"/>
    <w:rsid w:val="00917B1E"/>
    <w:rsid w:val="00920B1D"/>
    <w:rsid w:val="00926292"/>
    <w:rsid w:val="0093399C"/>
    <w:rsid w:val="00934E66"/>
    <w:rsid w:val="009362F6"/>
    <w:rsid w:val="0093735C"/>
    <w:rsid w:val="00940BAB"/>
    <w:rsid w:val="00941884"/>
    <w:rsid w:val="00941E0B"/>
    <w:rsid w:val="009435B0"/>
    <w:rsid w:val="00943D00"/>
    <w:rsid w:val="00946F59"/>
    <w:rsid w:val="009515BA"/>
    <w:rsid w:val="0095273F"/>
    <w:rsid w:val="00957B59"/>
    <w:rsid w:val="0096485C"/>
    <w:rsid w:val="00964C99"/>
    <w:rsid w:val="00974660"/>
    <w:rsid w:val="0097600B"/>
    <w:rsid w:val="00976FC4"/>
    <w:rsid w:val="009821BB"/>
    <w:rsid w:val="00983B19"/>
    <w:rsid w:val="009854AE"/>
    <w:rsid w:val="0098622B"/>
    <w:rsid w:val="00987190"/>
    <w:rsid w:val="009915ED"/>
    <w:rsid w:val="009916E0"/>
    <w:rsid w:val="009918E9"/>
    <w:rsid w:val="00991DFD"/>
    <w:rsid w:val="00995638"/>
    <w:rsid w:val="00995D95"/>
    <w:rsid w:val="0099629B"/>
    <w:rsid w:val="0099647E"/>
    <w:rsid w:val="009A0B6F"/>
    <w:rsid w:val="009A1E24"/>
    <w:rsid w:val="009B325E"/>
    <w:rsid w:val="009B4B14"/>
    <w:rsid w:val="009B517D"/>
    <w:rsid w:val="009C002E"/>
    <w:rsid w:val="009C20B3"/>
    <w:rsid w:val="009C3CF7"/>
    <w:rsid w:val="009C53FC"/>
    <w:rsid w:val="009C6C29"/>
    <w:rsid w:val="009D0AA8"/>
    <w:rsid w:val="009D12EC"/>
    <w:rsid w:val="009D1D5B"/>
    <w:rsid w:val="009D38F4"/>
    <w:rsid w:val="009D6169"/>
    <w:rsid w:val="009D7913"/>
    <w:rsid w:val="009E03A0"/>
    <w:rsid w:val="009E05D6"/>
    <w:rsid w:val="009E68DE"/>
    <w:rsid w:val="009F2C60"/>
    <w:rsid w:val="009F4965"/>
    <w:rsid w:val="009F7937"/>
    <w:rsid w:val="00A01C72"/>
    <w:rsid w:val="00A05F97"/>
    <w:rsid w:val="00A0795F"/>
    <w:rsid w:val="00A14D36"/>
    <w:rsid w:val="00A16334"/>
    <w:rsid w:val="00A17D10"/>
    <w:rsid w:val="00A233B1"/>
    <w:rsid w:val="00A26030"/>
    <w:rsid w:val="00A31391"/>
    <w:rsid w:val="00A34C0D"/>
    <w:rsid w:val="00A351CC"/>
    <w:rsid w:val="00A403DC"/>
    <w:rsid w:val="00A40F30"/>
    <w:rsid w:val="00A41F07"/>
    <w:rsid w:val="00A42464"/>
    <w:rsid w:val="00A45396"/>
    <w:rsid w:val="00A45B48"/>
    <w:rsid w:val="00A45C48"/>
    <w:rsid w:val="00A468BC"/>
    <w:rsid w:val="00A51CC2"/>
    <w:rsid w:val="00A550BE"/>
    <w:rsid w:val="00A55FE3"/>
    <w:rsid w:val="00A61A23"/>
    <w:rsid w:val="00A633B8"/>
    <w:rsid w:val="00A648B3"/>
    <w:rsid w:val="00A65C5C"/>
    <w:rsid w:val="00A676D6"/>
    <w:rsid w:val="00A712BD"/>
    <w:rsid w:val="00A72E09"/>
    <w:rsid w:val="00A73066"/>
    <w:rsid w:val="00A734D2"/>
    <w:rsid w:val="00A7678E"/>
    <w:rsid w:val="00A81959"/>
    <w:rsid w:val="00A83381"/>
    <w:rsid w:val="00A83686"/>
    <w:rsid w:val="00A8645C"/>
    <w:rsid w:val="00A90152"/>
    <w:rsid w:val="00A9463E"/>
    <w:rsid w:val="00AA1F74"/>
    <w:rsid w:val="00AB0563"/>
    <w:rsid w:val="00AB51A6"/>
    <w:rsid w:val="00AB53ED"/>
    <w:rsid w:val="00AB6BCA"/>
    <w:rsid w:val="00AB754A"/>
    <w:rsid w:val="00AC3C80"/>
    <w:rsid w:val="00AC3ED7"/>
    <w:rsid w:val="00AC6FC0"/>
    <w:rsid w:val="00AD0DB4"/>
    <w:rsid w:val="00AD74A9"/>
    <w:rsid w:val="00AD7E74"/>
    <w:rsid w:val="00AE102C"/>
    <w:rsid w:val="00AE34F7"/>
    <w:rsid w:val="00AE35C1"/>
    <w:rsid w:val="00AE5D55"/>
    <w:rsid w:val="00AE7A85"/>
    <w:rsid w:val="00AF09B9"/>
    <w:rsid w:val="00AF1499"/>
    <w:rsid w:val="00AF1C29"/>
    <w:rsid w:val="00AF567B"/>
    <w:rsid w:val="00B00765"/>
    <w:rsid w:val="00B00ADF"/>
    <w:rsid w:val="00B0268B"/>
    <w:rsid w:val="00B03E91"/>
    <w:rsid w:val="00B06055"/>
    <w:rsid w:val="00B100FB"/>
    <w:rsid w:val="00B1060F"/>
    <w:rsid w:val="00B10A10"/>
    <w:rsid w:val="00B11E91"/>
    <w:rsid w:val="00B131F2"/>
    <w:rsid w:val="00B13EFC"/>
    <w:rsid w:val="00B20AE0"/>
    <w:rsid w:val="00B2307C"/>
    <w:rsid w:val="00B236D7"/>
    <w:rsid w:val="00B248DB"/>
    <w:rsid w:val="00B30505"/>
    <w:rsid w:val="00B309B8"/>
    <w:rsid w:val="00B31BFE"/>
    <w:rsid w:val="00B333EA"/>
    <w:rsid w:val="00B346A3"/>
    <w:rsid w:val="00B3670C"/>
    <w:rsid w:val="00B36DBA"/>
    <w:rsid w:val="00B41B27"/>
    <w:rsid w:val="00B4251A"/>
    <w:rsid w:val="00B50417"/>
    <w:rsid w:val="00B51B35"/>
    <w:rsid w:val="00B51DC8"/>
    <w:rsid w:val="00B563EA"/>
    <w:rsid w:val="00B6121D"/>
    <w:rsid w:val="00B63E99"/>
    <w:rsid w:val="00B656C2"/>
    <w:rsid w:val="00B70836"/>
    <w:rsid w:val="00B768BD"/>
    <w:rsid w:val="00B85C13"/>
    <w:rsid w:val="00B93B71"/>
    <w:rsid w:val="00B93F7D"/>
    <w:rsid w:val="00B975F2"/>
    <w:rsid w:val="00B979CE"/>
    <w:rsid w:val="00B97B38"/>
    <w:rsid w:val="00BA3C21"/>
    <w:rsid w:val="00BB5010"/>
    <w:rsid w:val="00BB583E"/>
    <w:rsid w:val="00BB75CB"/>
    <w:rsid w:val="00BC27EB"/>
    <w:rsid w:val="00BC5ACE"/>
    <w:rsid w:val="00BD1D20"/>
    <w:rsid w:val="00BD2E92"/>
    <w:rsid w:val="00BD6D73"/>
    <w:rsid w:val="00BE1B61"/>
    <w:rsid w:val="00BE60B7"/>
    <w:rsid w:val="00BF64D2"/>
    <w:rsid w:val="00BF7D55"/>
    <w:rsid w:val="00C009D4"/>
    <w:rsid w:val="00C01B52"/>
    <w:rsid w:val="00C038BA"/>
    <w:rsid w:val="00C03F63"/>
    <w:rsid w:val="00C07028"/>
    <w:rsid w:val="00C14295"/>
    <w:rsid w:val="00C15F19"/>
    <w:rsid w:val="00C20697"/>
    <w:rsid w:val="00C21207"/>
    <w:rsid w:val="00C22CEB"/>
    <w:rsid w:val="00C2634B"/>
    <w:rsid w:val="00C26BA4"/>
    <w:rsid w:val="00C308FC"/>
    <w:rsid w:val="00C31B36"/>
    <w:rsid w:val="00C32CB9"/>
    <w:rsid w:val="00C32FF0"/>
    <w:rsid w:val="00C53521"/>
    <w:rsid w:val="00C540F1"/>
    <w:rsid w:val="00C56ECD"/>
    <w:rsid w:val="00C56EF5"/>
    <w:rsid w:val="00C57DA0"/>
    <w:rsid w:val="00C60F92"/>
    <w:rsid w:val="00C612C4"/>
    <w:rsid w:val="00C64110"/>
    <w:rsid w:val="00C66CE0"/>
    <w:rsid w:val="00C706E9"/>
    <w:rsid w:val="00C72952"/>
    <w:rsid w:val="00C7415E"/>
    <w:rsid w:val="00C80E89"/>
    <w:rsid w:val="00C83F75"/>
    <w:rsid w:val="00C95818"/>
    <w:rsid w:val="00C960D1"/>
    <w:rsid w:val="00C96637"/>
    <w:rsid w:val="00C96941"/>
    <w:rsid w:val="00CA16BE"/>
    <w:rsid w:val="00CA3168"/>
    <w:rsid w:val="00CA4476"/>
    <w:rsid w:val="00CA4756"/>
    <w:rsid w:val="00CB0324"/>
    <w:rsid w:val="00CB12CC"/>
    <w:rsid w:val="00CB2B3D"/>
    <w:rsid w:val="00CB5311"/>
    <w:rsid w:val="00CB6C76"/>
    <w:rsid w:val="00CB7AA3"/>
    <w:rsid w:val="00CC3232"/>
    <w:rsid w:val="00CC45C9"/>
    <w:rsid w:val="00CC5895"/>
    <w:rsid w:val="00CC7950"/>
    <w:rsid w:val="00CD3913"/>
    <w:rsid w:val="00CE2286"/>
    <w:rsid w:val="00CE34D7"/>
    <w:rsid w:val="00CE4BF1"/>
    <w:rsid w:val="00CF0DCE"/>
    <w:rsid w:val="00CF54F8"/>
    <w:rsid w:val="00D01141"/>
    <w:rsid w:val="00D03A5D"/>
    <w:rsid w:val="00D03F42"/>
    <w:rsid w:val="00D113CA"/>
    <w:rsid w:val="00D11599"/>
    <w:rsid w:val="00D14011"/>
    <w:rsid w:val="00D171AB"/>
    <w:rsid w:val="00D20530"/>
    <w:rsid w:val="00D20F69"/>
    <w:rsid w:val="00D2193A"/>
    <w:rsid w:val="00D22789"/>
    <w:rsid w:val="00D31632"/>
    <w:rsid w:val="00D34276"/>
    <w:rsid w:val="00D37AB3"/>
    <w:rsid w:val="00D407AD"/>
    <w:rsid w:val="00D41A4A"/>
    <w:rsid w:val="00D47236"/>
    <w:rsid w:val="00D52829"/>
    <w:rsid w:val="00D54963"/>
    <w:rsid w:val="00D57705"/>
    <w:rsid w:val="00D64828"/>
    <w:rsid w:val="00D65464"/>
    <w:rsid w:val="00D65EC4"/>
    <w:rsid w:val="00D70C9D"/>
    <w:rsid w:val="00D72CEF"/>
    <w:rsid w:val="00D756E6"/>
    <w:rsid w:val="00D81515"/>
    <w:rsid w:val="00D81DF0"/>
    <w:rsid w:val="00D8306D"/>
    <w:rsid w:val="00D851E8"/>
    <w:rsid w:val="00D8521A"/>
    <w:rsid w:val="00D860D6"/>
    <w:rsid w:val="00D87041"/>
    <w:rsid w:val="00D92D62"/>
    <w:rsid w:val="00D93032"/>
    <w:rsid w:val="00D95645"/>
    <w:rsid w:val="00D96C9A"/>
    <w:rsid w:val="00D96D52"/>
    <w:rsid w:val="00DA12C9"/>
    <w:rsid w:val="00DA18EF"/>
    <w:rsid w:val="00DA5FF9"/>
    <w:rsid w:val="00DB2258"/>
    <w:rsid w:val="00DC2EC5"/>
    <w:rsid w:val="00DC4C6F"/>
    <w:rsid w:val="00DD08A0"/>
    <w:rsid w:val="00DD0A69"/>
    <w:rsid w:val="00DD2325"/>
    <w:rsid w:val="00DE1684"/>
    <w:rsid w:val="00DE4C7F"/>
    <w:rsid w:val="00DE6D43"/>
    <w:rsid w:val="00DF07C3"/>
    <w:rsid w:val="00DF2BF2"/>
    <w:rsid w:val="00DF5AA0"/>
    <w:rsid w:val="00DF6D29"/>
    <w:rsid w:val="00DF7C1C"/>
    <w:rsid w:val="00E00625"/>
    <w:rsid w:val="00E0375E"/>
    <w:rsid w:val="00E066C4"/>
    <w:rsid w:val="00E13EFC"/>
    <w:rsid w:val="00E22793"/>
    <w:rsid w:val="00E2534F"/>
    <w:rsid w:val="00E25E0D"/>
    <w:rsid w:val="00E26B95"/>
    <w:rsid w:val="00E41A51"/>
    <w:rsid w:val="00E44D2D"/>
    <w:rsid w:val="00E456F7"/>
    <w:rsid w:val="00E5248D"/>
    <w:rsid w:val="00E536AC"/>
    <w:rsid w:val="00E55F86"/>
    <w:rsid w:val="00E57B49"/>
    <w:rsid w:val="00E60093"/>
    <w:rsid w:val="00E61191"/>
    <w:rsid w:val="00E61536"/>
    <w:rsid w:val="00E6670D"/>
    <w:rsid w:val="00E71DD2"/>
    <w:rsid w:val="00E73C96"/>
    <w:rsid w:val="00E7427F"/>
    <w:rsid w:val="00E7438A"/>
    <w:rsid w:val="00E807F6"/>
    <w:rsid w:val="00E8515A"/>
    <w:rsid w:val="00E86EC3"/>
    <w:rsid w:val="00E95489"/>
    <w:rsid w:val="00EA1998"/>
    <w:rsid w:val="00EA25A9"/>
    <w:rsid w:val="00EA447D"/>
    <w:rsid w:val="00EA5A44"/>
    <w:rsid w:val="00EB0786"/>
    <w:rsid w:val="00EB659A"/>
    <w:rsid w:val="00EB6D91"/>
    <w:rsid w:val="00EC36C5"/>
    <w:rsid w:val="00EC4528"/>
    <w:rsid w:val="00EC545F"/>
    <w:rsid w:val="00EC57C1"/>
    <w:rsid w:val="00EC597A"/>
    <w:rsid w:val="00ED03B0"/>
    <w:rsid w:val="00ED4D54"/>
    <w:rsid w:val="00ED58E0"/>
    <w:rsid w:val="00ED6FBB"/>
    <w:rsid w:val="00ED7AE1"/>
    <w:rsid w:val="00EE2088"/>
    <w:rsid w:val="00EE6A68"/>
    <w:rsid w:val="00EE7DE0"/>
    <w:rsid w:val="00F012DD"/>
    <w:rsid w:val="00F03700"/>
    <w:rsid w:val="00F03EC6"/>
    <w:rsid w:val="00F10BAB"/>
    <w:rsid w:val="00F14380"/>
    <w:rsid w:val="00F149B8"/>
    <w:rsid w:val="00F14E1C"/>
    <w:rsid w:val="00F17759"/>
    <w:rsid w:val="00F22AAD"/>
    <w:rsid w:val="00F22B1A"/>
    <w:rsid w:val="00F244FA"/>
    <w:rsid w:val="00F3675C"/>
    <w:rsid w:val="00F37401"/>
    <w:rsid w:val="00F51CB2"/>
    <w:rsid w:val="00F559E1"/>
    <w:rsid w:val="00F5627A"/>
    <w:rsid w:val="00F61EFF"/>
    <w:rsid w:val="00F62029"/>
    <w:rsid w:val="00F6736A"/>
    <w:rsid w:val="00F67CF0"/>
    <w:rsid w:val="00F72739"/>
    <w:rsid w:val="00F74EB1"/>
    <w:rsid w:val="00F74F55"/>
    <w:rsid w:val="00F77394"/>
    <w:rsid w:val="00F77538"/>
    <w:rsid w:val="00F84E12"/>
    <w:rsid w:val="00F85AA5"/>
    <w:rsid w:val="00F93F18"/>
    <w:rsid w:val="00F95DA5"/>
    <w:rsid w:val="00F96044"/>
    <w:rsid w:val="00FA0536"/>
    <w:rsid w:val="00FA1EDA"/>
    <w:rsid w:val="00FA253E"/>
    <w:rsid w:val="00FA64B1"/>
    <w:rsid w:val="00FB0B18"/>
    <w:rsid w:val="00FB1F5D"/>
    <w:rsid w:val="00FB3174"/>
    <w:rsid w:val="00FB3F3C"/>
    <w:rsid w:val="00FB4E8F"/>
    <w:rsid w:val="00FB62F2"/>
    <w:rsid w:val="00FC0BE8"/>
    <w:rsid w:val="00FC2147"/>
    <w:rsid w:val="00FC259F"/>
    <w:rsid w:val="00FC59A3"/>
    <w:rsid w:val="00FC7FC9"/>
    <w:rsid w:val="00FD0968"/>
    <w:rsid w:val="00FD375F"/>
    <w:rsid w:val="00FD5401"/>
    <w:rsid w:val="00FD57E5"/>
    <w:rsid w:val="00FD5C8A"/>
    <w:rsid w:val="00FD7829"/>
    <w:rsid w:val="00FE1E58"/>
    <w:rsid w:val="00FE2818"/>
    <w:rsid w:val="00FE44A0"/>
    <w:rsid w:val="00FF29A6"/>
    <w:rsid w:val="00FF538E"/>
    <w:rsid w:val="00FF7974"/>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3E5F15"/>
    <w:pPr>
      <w:spacing w:after="160" w:line="259" w:lineRule="auto"/>
    </w:pPr>
    <w:rPr>
      <w:sz w:val="22"/>
      <w:szCs w:val="22"/>
      <w:lang w:eastAsia="en-US"/>
    </w:rPr>
  </w:style>
  <w:style w:type="paragraph" w:styleId="Nagwek1">
    <w:name w:val="heading 1"/>
    <w:basedOn w:val="Normalny"/>
    <w:next w:val="Normalny"/>
    <w:link w:val="Nagwek1Znak"/>
    <w:uiPriority w:val="9"/>
    <w:qFormat/>
    <w:rsid w:val="00D41A4A"/>
    <w:pPr>
      <w:keepNext/>
      <w:keepLines/>
      <w:spacing w:before="1000" w:after="400" w:line="276" w:lineRule="auto"/>
      <w:outlineLvl w:val="0"/>
    </w:pPr>
    <w:rPr>
      <w:rFonts w:ascii="Cambria" w:eastAsia="Times New Roman" w:hAnsi="Cambria"/>
      <w:b/>
      <w:bCs/>
      <w:color w:val="365F91"/>
      <w:sz w:val="28"/>
      <w:szCs w:val="28"/>
    </w:rPr>
  </w:style>
  <w:style w:type="paragraph" w:styleId="Nagwek2">
    <w:name w:val="heading 2"/>
    <w:basedOn w:val="Nagwek1"/>
    <w:next w:val="Normalny"/>
    <w:link w:val="Nagwek2Znak"/>
    <w:uiPriority w:val="9"/>
    <w:unhideWhenUsed/>
    <w:qFormat/>
    <w:rsid w:val="00D41A4A"/>
    <w:pPr>
      <w:pBdr>
        <w:bottom w:val="single" w:sz="4" w:space="1" w:color="000000"/>
      </w:pBdr>
      <w:spacing w:before="0" w:after="120"/>
      <w:ind w:left="426" w:hanging="426"/>
      <w:outlineLvl w:val="1"/>
    </w:pPr>
    <w:rPr>
      <w:bCs w:val="0"/>
      <w:caps/>
      <w:color w:val="000000"/>
      <w:sz w:val="20"/>
      <w:szCs w:val="20"/>
      <w:lang w:eastAsia="pl-PL"/>
    </w:rPr>
  </w:style>
  <w:style w:type="paragraph" w:styleId="Nagwek3">
    <w:name w:val="heading 3"/>
    <w:basedOn w:val="Normalny"/>
    <w:next w:val="Normalny"/>
    <w:link w:val="Nagwek3Znak"/>
    <w:uiPriority w:val="9"/>
    <w:unhideWhenUsed/>
    <w:qFormat/>
    <w:rsid w:val="00814A82"/>
    <w:pPr>
      <w:keepNext/>
      <w:keepLines/>
      <w:spacing w:after="0" w:line="288" w:lineRule="auto"/>
      <w:jc w:val="both"/>
      <w:outlineLvl w:val="2"/>
    </w:pPr>
    <w:rPr>
      <w:rFonts w:ascii="Calibri Light" w:eastAsia="Times New Roman" w:hAnsi="Calibri Light"/>
      <w:caps/>
      <w:color w:val="000000"/>
      <w:sz w:val="20"/>
      <w:szCs w:val="20"/>
      <w:lang w:eastAsia="pl-PL"/>
    </w:rPr>
  </w:style>
  <w:style w:type="paragraph" w:styleId="Nagwek4">
    <w:name w:val="heading 4"/>
    <w:basedOn w:val="Normalny"/>
    <w:next w:val="Normalny"/>
    <w:link w:val="Nagwek4Znak"/>
    <w:uiPriority w:val="9"/>
    <w:unhideWhenUsed/>
    <w:qFormat/>
    <w:rsid w:val="000C6BE4"/>
    <w:pPr>
      <w:keepNext/>
      <w:keepLines/>
      <w:spacing w:before="40" w:after="0" w:line="276" w:lineRule="auto"/>
      <w:jc w:val="both"/>
      <w:outlineLvl w:val="3"/>
    </w:pPr>
    <w:rPr>
      <w:rFonts w:ascii="Calibri Light" w:eastAsia="Times New Roman" w:hAnsi="Calibri Light"/>
      <w:i/>
      <w:iCs/>
      <w:color w:val="31479E"/>
      <w:sz w:val="20"/>
      <w:szCs w:val="20"/>
      <w:lang w:eastAsia="pl-PL"/>
    </w:rPr>
  </w:style>
  <w:style w:type="paragraph" w:styleId="Nagwek5">
    <w:name w:val="heading 5"/>
    <w:basedOn w:val="Normalny"/>
    <w:next w:val="Normalny"/>
    <w:link w:val="Nagwek5Znak"/>
    <w:uiPriority w:val="9"/>
    <w:semiHidden/>
    <w:unhideWhenUsed/>
    <w:qFormat/>
    <w:rsid w:val="000C6BE4"/>
    <w:pPr>
      <w:keepNext/>
      <w:keepLines/>
      <w:spacing w:before="40" w:after="0" w:line="276" w:lineRule="auto"/>
      <w:jc w:val="both"/>
      <w:outlineLvl w:val="4"/>
    </w:pPr>
    <w:rPr>
      <w:rFonts w:ascii="Calibri Light" w:eastAsia="Times New Roman" w:hAnsi="Calibri Light"/>
      <w:color w:val="31479E"/>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D41A4A"/>
    <w:rPr>
      <w:rFonts w:ascii="Cambria" w:eastAsia="Times New Roman" w:hAnsi="Cambria" w:cs="Times New Roman"/>
      <w:b/>
      <w:bCs/>
      <w:color w:val="365F91"/>
      <w:sz w:val="28"/>
      <w:szCs w:val="28"/>
    </w:rPr>
  </w:style>
  <w:style w:type="paragraph" w:styleId="Cytatintensywny">
    <w:name w:val="Intense Quote"/>
    <w:basedOn w:val="Normalny"/>
    <w:next w:val="Normalny"/>
    <w:link w:val="CytatintensywnyZnak"/>
    <w:uiPriority w:val="30"/>
    <w:qFormat/>
    <w:rsid w:val="00831ECF"/>
    <w:pPr>
      <w:pBdr>
        <w:bottom w:val="single" w:sz="4" w:space="4" w:color="4E67C8"/>
      </w:pBdr>
      <w:spacing w:before="200" w:after="280" w:line="276" w:lineRule="auto"/>
      <w:ind w:left="936" w:right="936"/>
    </w:pPr>
    <w:rPr>
      <w:b/>
      <w:bCs/>
      <w:i/>
      <w:iCs/>
      <w:color w:val="4E67C8"/>
      <w:sz w:val="20"/>
      <w:szCs w:val="20"/>
    </w:rPr>
  </w:style>
  <w:style w:type="character" w:customStyle="1" w:styleId="CytatintensywnyZnak">
    <w:name w:val="Cytat intensywny Znak"/>
    <w:link w:val="Cytatintensywny"/>
    <w:uiPriority w:val="30"/>
    <w:rsid w:val="00831ECF"/>
    <w:rPr>
      <w:b/>
      <w:bCs/>
      <w:i/>
      <w:iCs/>
      <w:color w:val="4E67C8"/>
    </w:rPr>
  </w:style>
  <w:style w:type="character" w:customStyle="1" w:styleId="Nagwek2Znak">
    <w:name w:val="Nagłówek 2 Znak"/>
    <w:link w:val="Nagwek2"/>
    <w:uiPriority w:val="9"/>
    <w:rsid w:val="00D41A4A"/>
    <w:rPr>
      <w:rFonts w:ascii="Cambria" w:eastAsia="Times New Roman" w:hAnsi="Cambria" w:cs="Times New Roman"/>
      <w:b/>
      <w:caps/>
      <w:color w:val="000000"/>
      <w:lang w:eastAsia="pl-PL"/>
    </w:rPr>
  </w:style>
  <w:style w:type="character" w:customStyle="1" w:styleId="Nagwek3Znak">
    <w:name w:val="Nagłówek 3 Znak"/>
    <w:link w:val="Nagwek3"/>
    <w:uiPriority w:val="9"/>
    <w:rsid w:val="00814A82"/>
    <w:rPr>
      <w:rFonts w:ascii="Calibri Light" w:eastAsia="Times New Roman" w:hAnsi="Calibri Light" w:cs="Times New Roman"/>
      <w:caps/>
      <w:color w:val="000000"/>
      <w:sz w:val="20"/>
      <w:szCs w:val="20"/>
      <w:lang w:eastAsia="pl-PL"/>
    </w:rPr>
  </w:style>
  <w:style w:type="character" w:customStyle="1" w:styleId="Nagwek4Znak">
    <w:name w:val="Nagłówek 4 Znak"/>
    <w:link w:val="Nagwek4"/>
    <w:uiPriority w:val="9"/>
    <w:rsid w:val="000C6BE4"/>
    <w:rPr>
      <w:rFonts w:ascii="Calibri Light" w:eastAsia="Times New Roman" w:hAnsi="Calibri Light" w:cs="Times New Roman"/>
      <w:i/>
      <w:iCs/>
      <w:color w:val="31479E"/>
      <w:lang w:eastAsia="pl-PL"/>
    </w:rPr>
  </w:style>
  <w:style w:type="character" w:customStyle="1" w:styleId="Nagwek5Znak">
    <w:name w:val="Nagłówek 5 Znak"/>
    <w:link w:val="Nagwek5"/>
    <w:uiPriority w:val="9"/>
    <w:semiHidden/>
    <w:rsid w:val="000C6BE4"/>
    <w:rPr>
      <w:rFonts w:ascii="Calibri Light" w:eastAsia="Times New Roman" w:hAnsi="Calibri Light" w:cs="Times New Roman"/>
      <w:color w:val="31479E"/>
      <w:lang w:eastAsia="pl-PL"/>
    </w:rPr>
  </w:style>
  <w:style w:type="paragraph" w:styleId="Bezodstpw">
    <w:name w:val="No Spacing"/>
    <w:link w:val="BezodstpwZnak"/>
    <w:uiPriority w:val="1"/>
    <w:qFormat/>
    <w:rsid w:val="00831ECF"/>
    <w:rPr>
      <w:rFonts w:eastAsia="Times New Roman"/>
      <w:sz w:val="22"/>
      <w:szCs w:val="22"/>
    </w:rPr>
  </w:style>
  <w:style w:type="character" w:customStyle="1" w:styleId="BezodstpwZnak">
    <w:name w:val="Bez odstępów Znak"/>
    <w:link w:val="Bezodstpw"/>
    <w:uiPriority w:val="1"/>
    <w:rsid w:val="00831ECF"/>
    <w:rPr>
      <w:rFonts w:eastAsia="Times New Roman"/>
      <w:sz w:val="22"/>
      <w:szCs w:val="22"/>
      <w:lang w:val="pl-PL" w:eastAsia="pl-PL" w:bidi="ar-SA"/>
    </w:rPr>
  </w:style>
  <w:style w:type="table" w:styleId="Tabela-Siatka">
    <w:name w:val="Table Grid"/>
    <w:aliases w:val="ECORYS Tabela"/>
    <w:basedOn w:val="Standardowy"/>
    <w:uiPriority w:val="59"/>
    <w:rsid w:val="00831EC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kapitzlist">
    <w:name w:val="List Paragraph"/>
    <w:basedOn w:val="Normalny"/>
    <w:link w:val="AkapitzlistZnak"/>
    <w:uiPriority w:val="34"/>
    <w:qFormat/>
    <w:rsid w:val="00831ECF"/>
    <w:pPr>
      <w:spacing w:after="200" w:line="276" w:lineRule="auto"/>
      <w:ind w:left="720"/>
      <w:contextualSpacing/>
    </w:pPr>
  </w:style>
  <w:style w:type="character" w:customStyle="1" w:styleId="AkapitzlistZnak">
    <w:name w:val="Akapit z listą Znak"/>
    <w:link w:val="Akapitzlist"/>
    <w:uiPriority w:val="34"/>
    <w:rsid w:val="00831ECF"/>
  </w:style>
  <w:style w:type="paragraph" w:customStyle="1" w:styleId="BORDOX">
    <w:name w:val="BORDO X"/>
    <w:basedOn w:val="Normalny"/>
    <w:link w:val="BORDOXZnak"/>
    <w:uiPriority w:val="99"/>
    <w:rsid w:val="00831ECF"/>
    <w:pPr>
      <w:numPr>
        <w:numId w:val="3"/>
      </w:numPr>
      <w:spacing w:after="0" w:line="264" w:lineRule="auto"/>
      <w:ind w:left="317" w:right="141" w:hanging="283"/>
      <w:contextualSpacing/>
      <w:jc w:val="both"/>
    </w:pPr>
    <w:rPr>
      <w:rFonts w:ascii="Myriad Pro" w:eastAsia="Times New Roman" w:hAnsi="Myriad Pro"/>
      <w:color w:val="262626"/>
      <w:sz w:val="18"/>
      <w:szCs w:val="18"/>
      <w:lang w:eastAsia="pl-PL"/>
    </w:rPr>
  </w:style>
  <w:style w:type="character" w:customStyle="1" w:styleId="BORDOXZnak">
    <w:name w:val="BORDO X Znak"/>
    <w:link w:val="BORDOX"/>
    <w:uiPriority w:val="99"/>
    <w:rsid w:val="00831ECF"/>
    <w:rPr>
      <w:rFonts w:ascii="Myriad Pro" w:eastAsia="Times New Roman" w:hAnsi="Myriad Pro" w:cs="Times New Roman"/>
      <w:color w:val="262626"/>
      <w:sz w:val="18"/>
      <w:szCs w:val="18"/>
      <w:lang w:eastAsia="pl-PL"/>
    </w:rPr>
  </w:style>
  <w:style w:type="paragraph" w:styleId="Tekstkomentarza">
    <w:name w:val="annotation text"/>
    <w:basedOn w:val="Normalny"/>
    <w:link w:val="TekstkomentarzaZnak"/>
    <w:uiPriority w:val="99"/>
    <w:unhideWhenUsed/>
    <w:rsid w:val="00831ECF"/>
    <w:pPr>
      <w:suppressAutoHyphens/>
      <w:spacing w:after="0" w:line="240" w:lineRule="auto"/>
      <w:ind w:firstLine="284"/>
      <w:jc w:val="both"/>
    </w:pPr>
    <w:rPr>
      <w:rFonts w:ascii="Times New Roman" w:hAnsi="Times New Roman"/>
      <w:sz w:val="20"/>
      <w:szCs w:val="20"/>
      <w:lang w:bidi="en-US"/>
    </w:rPr>
  </w:style>
  <w:style w:type="character" w:customStyle="1" w:styleId="TekstkomentarzaZnak">
    <w:name w:val="Tekst komentarza Znak"/>
    <w:link w:val="Tekstkomentarza"/>
    <w:uiPriority w:val="99"/>
    <w:rsid w:val="00831ECF"/>
    <w:rPr>
      <w:rFonts w:ascii="Times New Roman" w:eastAsia="Calibri" w:hAnsi="Times New Roman" w:cs="Times New Roman"/>
      <w:sz w:val="20"/>
      <w:szCs w:val="20"/>
      <w:lang w:bidi="en-US"/>
    </w:rPr>
  </w:style>
  <w:style w:type="paragraph" w:customStyle="1" w:styleId="TEKST">
    <w:name w:val="TEKST"/>
    <w:basedOn w:val="Normalny"/>
    <w:link w:val="TEKSTZnak"/>
    <w:qFormat/>
    <w:rsid w:val="003C0FE7"/>
    <w:pPr>
      <w:spacing w:after="200" w:line="288" w:lineRule="auto"/>
      <w:jc w:val="both"/>
    </w:pPr>
    <w:rPr>
      <w:color w:val="000000"/>
      <w:sz w:val="21"/>
      <w:szCs w:val="21"/>
    </w:rPr>
  </w:style>
  <w:style w:type="character" w:customStyle="1" w:styleId="TEKSTZnak">
    <w:name w:val="TEKST Znak"/>
    <w:link w:val="TEKST"/>
    <w:rsid w:val="003C0FE7"/>
    <w:rPr>
      <w:color w:val="000000"/>
      <w:sz w:val="21"/>
      <w:szCs w:val="21"/>
    </w:rPr>
  </w:style>
  <w:style w:type="paragraph" w:styleId="Nagwek">
    <w:name w:val="header"/>
    <w:basedOn w:val="Normalny"/>
    <w:link w:val="NagwekZnak"/>
    <w:uiPriority w:val="99"/>
    <w:unhideWhenUsed/>
    <w:rsid w:val="004C2A4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C2A48"/>
  </w:style>
  <w:style w:type="paragraph" w:styleId="Stopka">
    <w:name w:val="footer"/>
    <w:basedOn w:val="Normalny"/>
    <w:link w:val="StopkaZnak"/>
    <w:uiPriority w:val="99"/>
    <w:unhideWhenUsed/>
    <w:rsid w:val="004C2A4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C2A48"/>
  </w:style>
  <w:style w:type="paragraph" w:customStyle="1" w:styleId="TABELA">
    <w:name w:val="TABELA"/>
    <w:basedOn w:val="Normalny"/>
    <w:link w:val="TABELAZnak"/>
    <w:qFormat/>
    <w:rsid w:val="008F1847"/>
    <w:pPr>
      <w:autoSpaceDE w:val="0"/>
      <w:autoSpaceDN w:val="0"/>
      <w:adjustRightInd w:val="0"/>
      <w:spacing w:before="300" w:after="60" w:line="240" w:lineRule="auto"/>
      <w:jc w:val="both"/>
    </w:pPr>
    <w:rPr>
      <w:rFonts w:ascii="Century Gothic" w:hAnsi="Century Gothic"/>
      <w:bCs/>
      <w:iCs/>
      <w:color w:val="808080"/>
      <w:sz w:val="16"/>
      <w:szCs w:val="18"/>
    </w:rPr>
  </w:style>
  <w:style w:type="character" w:customStyle="1" w:styleId="TABELAZnak">
    <w:name w:val="TABELA Znak"/>
    <w:link w:val="TABELA"/>
    <w:rsid w:val="008F1847"/>
    <w:rPr>
      <w:rFonts w:ascii="Century Gothic" w:hAnsi="Century Gothic" w:cs="Calibri"/>
      <w:bCs/>
      <w:iCs/>
      <w:color w:val="808080"/>
      <w:sz w:val="16"/>
      <w:szCs w:val="18"/>
    </w:rPr>
  </w:style>
  <w:style w:type="paragraph" w:customStyle="1" w:styleId="pkt">
    <w:name w:val="pkt"/>
    <w:basedOn w:val="Normalny"/>
    <w:link w:val="pktZnak"/>
    <w:qFormat/>
    <w:rsid w:val="008F1847"/>
    <w:pPr>
      <w:numPr>
        <w:numId w:val="9"/>
      </w:numPr>
      <w:spacing w:before="240" w:after="240" w:line="360" w:lineRule="auto"/>
      <w:ind w:left="426" w:hanging="426"/>
      <w:contextualSpacing/>
      <w:jc w:val="both"/>
    </w:pPr>
    <w:rPr>
      <w:rFonts w:eastAsia="Times New Roman"/>
      <w:color w:val="404040"/>
      <w:sz w:val="20"/>
      <w:szCs w:val="18"/>
    </w:rPr>
  </w:style>
  <w:style w:type="character" w:customStyle="1" w:styleId="pktZnak">
    <w:name w:val="pkt Znak"/>
    <w:link w:val="pkt"/>
    <w:rsid w:val="008F1847"/>
    <w:rPr>
      <w:rFonts w:ascii="Calibri" w:eastAsia="Times New Roman" w:hAnsi="Calibri" w:cs="Times New Roman"/>
      <w:color w:val="404040"/>
      <w:sz w:val="20"/>
      <w:szCs w:val="18"/>
    </w:rPr>
  </w:style>
  <w:style w:type="paragraph" w:styleId="Tekstprzypisudolnego">
    <w:name w:val="footnote text"/>
    <w:aliases w:val="Podrozdział,Footnote,Podrozdzia3,Tekst przypisu,Fußnote,-E Fuﬂnotentext,Fuﬂnotentext Ursprung,Fußnotentext Ursprung,-E Fußnotentext,Tekst przypisu Znak Znak Znak Znak,Znak Znak Znak,Znak Znak1,Tekst przypisu dolnego1,fn"/>
    <w:basedOn w:val="Normalny"/>
    <w:link w:val="TekstprzypisudolnegoZnak"/>
    <w:uiPriority w:val="99"/>
    <w:qFormat/>
    <w:rsid w:val="008F1847"/>
    <w:pPr>
      <w:spacing w:after="0" w:line="240" w:lineRule="auto"/>
    </w:pPr>
    <w:rPr>
      <w:rFonts w:ascii="Times New Roman" w:eastAsia="Times New Roman" w:hAnsi="Times New Roman"/>
      <w:sz w:val="20"/>
      <w:szCs w:val="20"/>
      <w:lang w:eastAsia="pl-PL"/>
    </w:rPr>
  </w:style>
  <w:style w:type="character" w:customStyle="1" w:styleId="TekstprzypisudolnegoZnak">
    <w:name w:val="Tekst przypisu dolnego Znak"/>
    <w:aliases w:val="Podrozdział Znak,Footnote Znak,Podrozdzia3 Znak,Tekst przypisu Znak,Fußnote Znak,-E Fuﬂnotentext Znak,Fuﬂnotentext Ursprung Znak,Fußnotentext Ursprung Znak,-E Fußnotentext Znak,Tekst przypisu Znak Znak Znak Znak Znak,fn Znak"/>
    <w:link w:val="Tekstprzypisudolnego"/>
    <w:uiPriority w:val="99"/>
    <w:rsid w:val="008F1847"/>
    <w:rPr>
      <w:rFonts w:ascii="Times New Roman" w:eastAsia="Times New Roman" w:hAnsi="Times New Roman" w:cs="Times New Roman"/>
      <w:sz w:val="20"/>
      <w:szCs w:val="20"/>
      <w:lang w:eastAsia="pl-PL"/>
    </w:rPr>
  </w:style>
  <w:style w:type="character" w:styleId="Odwoanieprzypisudolnego">
    <w:name w:val="footnote reference"/>
    <w:aliases w:val="Footnote Reference Number,Footnote Reference Superscript,Odwołanie przypisu,WBU_Odwołanie przypisu dolnego,WBU_odwolanie_przypisu_dolnego,Footnote symbol,Footnote reference number,note TESI,SUPERS,EN Footnote Reference,Ref,16 "/>
    <w:uiPriority w:val="99"/>
    <w:rsid w:val="008F1847"/>
    <w:rPr>
      <w:vertAlign w:val="superscript"/>
    </w:rPr>
  </w:style>
  <w:style w:type="paragraph" w:customStyle="1" w:styleId="Akap">
    <w:name w:val="Akap"/>
    <w:basedOn w:val="Normalny"/>
    <w:link w:val="AkapZnak"/>
    <w:qFormat/>
    <w:rsid w:val="000C6BE4"/>
    <w:pPr>
      <w:spacing w:before="60" w:after="60" w:line="240" w:lineRule="auto"/>
      <w:jc w:val="both"/>
    </w:pPr>
    <w:rPr>
      <w:rFonts w:ascii="Arial Narrow" w:eastAsia="Times New Roman" w:hAnsi="Arial Narrow"/>
      <w:sz w:val="20"/>
      <w:szCs w:val="20"/>
      <w:lang w:eastAsia="pl-PL"/>
    </w:rPr>
  </w:style>
  <w:style w:type="character" w:customStyle="1" w:styleId="AkapZnak">
    <w:name w:val="Akap Znak"/>
    <w:link w:val="Akap"/>
    <w:rsid w:val="000C6BE4"/>
    <w:rPr>
      <w:rFonts w:ascii="Arial Narrow" w:eastAsia="Times New Roman" w:hAnsi="Arial Narrow"/>
      <w:lang w:eastAsia="pl-PL"/>
    </w:rPr>
  </w:style>
  <w:style w:type="paragraph" w:styleId="Spistreci3">
    <w:name w:val="toc 3"/>
    <w:basedOn w:val="Normalny"/>
    <w:next w:val="Normalny"/>
    <w:autoRedefine/>
    <w:uiPriority w:val="39"/>
    <w:unhideWhenUsed/>
    <w:rsid w:val="000C6BE4"/>
    <w:pPr>
      <w:spacing w:after="0" w:line="276" w:lineRule="auto"/>
      <w:ind w:left="440"/>
    </w:pPr>
    <w:rPr>
      <w:rFonts w:ascii="Myriad Pro" w:eastAsia="Times New Roman" w:hAnsi="Myriad Pro"/>
      <w:sz w:val="20"/>
      <w:szCs w:val="20"/>
      <w:lang w:eastAsia="pl-PL"/>
    </w:rPr>
  </w:style>
  <w:style w:type="paragraph" w:customStyle="1" w:styleId="RDO">
    <w:name w:val="ŹRÓDŁO"/>
    <w:basedOn w:val="TEKST"/>
    <w:link w:val="RDOZnak"/>
    <w:qFormat/>
    <w:rsid w:val="000C6BE4"/>
    <w:pPr>
      <w:spacing w:after="120" w:line="240" w:lineRule="auto"/>
    </w:pPr>
    <w:rPr>
      <w:rFonts w:eastAsia="Times New Roman"/>
      <w:i/>
      <w:color w:val="808080"/>
      <w:sz w:val="16"/>
      <w:szCs w:val="16"/>
      <w:lang w:eastAsia="pl-PL"/>
    </w:rPr>
  </w:style>
  <w:style w:type="character" w:customStyle="1" w:styleId="RDOZnak">
    <w:name w:val="ŹRÓDŁO Znak"/>
    <w:link w:val="RDO"/>
    <w:rsid w:val="000C6BE4"/>
    <w:rPr>
      <w:rFonts w:eastAsia="Times New Roman" w:cs="Arial"/>
      <w:i/>
      <w:color w:val="808080"/>
      <w:sz w:val="16"/>
      <w:szCs w:val="16"/>
      <w:lang w:eastAsia="pl-PL"/>
    </w:rPr>
  </w:style>
  <w:style w:type="paragraph" w:customStyle="1" w:styleId="MAPA">
    <w:name w:val="MAPA"/>
    <w:basedOn w:val="Normalny"/>
    <w:link w:val="MAPAZnak"/>
    <w:qFormat/>
    <w:rsid w:val="000C6BE4"/>
    <w:pPr>
      <w:pBdr>
        <w:bottom w:val="single" w:sz="4" w:space="0" w:color="808080"/>
      </w:pBdr>
      <w:tabs>
        <w:tab w:val="left" w:pos="7088"/>
      </w:tabs>
      <w:spacing w:before="200" w:after="60" w:line="240" w:lineRule="auto"/>
      <w:ind w:left="743" w:hanging="743"/>
    </w:pPr>
    <w:rPr>
      <w:rFonts w:ascii="Century Gothic" w:eastAsia="Times New Roman" w:hAnsi="Century Gothic"/>
      <w:iCs/>
      <w:caps/>
      <w:noProof/>
      <w:color w:val="000000"/>
      <w:sz w:val="16"/>
      <w:szCs w:val="16"/>
      <w:lang w:eastAsia="pl-PL"/>
    </w:rPr>
  </w:style>
  <w:style w:type="character" w:customStyle="1" w:styleId="MAPAZnak">
    <w:name w:val="MAPA Znak"/>
    <w:link w:val="MAPA"/>
    <w:rsid w:val="000C6BE4"/>
    <w:rPr>
      <w:rFonts w:ascii="Century Gothic" w:eastAsia="Times New Roman" w:hAnsi="Century Gothic"/>
      <w:iCs/>
      <w:caps/>
      <w:noProof/>
      <w:color w:val="000000"/>
      <w:sz w:val="16"/>
      <w:szCs w:val="16"/>
      <w:lang w:eastAsia="pl-PL"/>
    </w:rPr>
  </w:style>
  <w:style w:type="character" w:customStyle="1" w:styleId="TekstdymkaZnak">
    <w:name w:val="Tekst dymka Znak"/>
    <w:link w:val="Tekstdymka"/>
    <w:uiPriority w:val="99"/>
    <w:semiHidden/>
    <w:rsid w:val="000C6BE4"/>
    <w:rPr>
      <w:rFonts w:ascii="Segoe UI" w:eastAsia="Times New Roman" w:hAnsi="Segoe UI" w:cs="Segoe UI"/>
      <w:sz w:val="18"/>
      <w:szCs w:val="18"/>
      <w:lang w:eastAsia="pl-PL"/>
    </w:rPr>
  </w:style>
  <w:style w:type="paragraph" w:styleId="Tekstdymka">
    <w:name w:val="Balloon Text"/>
    <w:basedOn w:val="Normalny"/>
    <w:link w:val="TekstdymkaZnak"/>
    <w:uiPriority w:val="99"/>
    <w:semiHidden/>
    <w:unhideWhenUsed/>
    <w:rsid w:val="000C6BE4"/>
    <w:pPr>
      <w:spacing w:after="0" w:line="240" w:lineRule="auto"/>
      <w:jc w:val="both"/>
    </w:pPr>
    <w:rPr>
      <w:rFonts w:ascii="Segoe UI" w:eastAsia="Times New Roman" w:hAnsi="Segoe UI"/>
      <w:sz w:val="18"/>
      <w:szCs w:val="18"/>
      <w:lang w:eastAsia="pl-PL"/>
    </w:rPr>
  </w:style>
  <w:style w:type="paragraph" w:customStyle="1" w:styleId="1WYKRES">
    <w:name w:val="1. WYKRES"/>
    <w:basedOn w:val="Normalny"/>
    <w:link w:val="1WYKRESZnak"/>
    <w:qFormat/>
    <w:rsid w:val="000C6BE4"/>
    <w:pPr>
      <w:keepNext/>
      <w:pBdr>
        <w:bottom w:val="single" w:sz="4" w:space="1" w:color="BFBFBF"/>
      </w:pBdr>
      <w:spacing w:before="300" w:after="0" w:line="240" w:lineRule="auto"/>
      <w:ind w:left="851" w:hanging="851"/>
    </w:pPr>
    <w:rPr>
      <w:bCs/>
      <w:caps/>
      <w:color w:val="808080"/>
      <w:sz w:val="18"/>
      <w:szCs w:val="18"/>
      <w:lang w:eastAsia="pl-PL"/>
    </w:rPr>
  </w:style>
  <w:style w:type="character" w:customStyle="1" w:styleId="1WYKRESZnak">
    <w:name w:val="1. WYKRES Znak"/>
    <w:link w:val="1WYKRES"/>
    <w:rsid w:val="000C6BE4"/>
    <w:rPr>
      <w:rFonts w:ascii="Calibri" w:eastAsia="Calibri" w:hAnsi="Calibri" w:cs="Arial"/>
      <w:bCs/>
      <w:caps/>
      <w:color w:val="808080"/>
      <w:sz w:val="18"/>
      <w:szCs w:val="18"/>
      <w:lang w:eastAsia="pl-PL"/>
    </w:rPr>
  </w:style>
  <w:style w:type="paragraph" w:customStyle="1" w:styleId="WYKRES">
    <w:name w:val="WYKRES"/>
    <w:basedOn w:val="Legenda"/>
    <w:link w:val="WYKRESZnak"/>
    <w:rsid w:val="000C6BE4"/>
    <w:pPr>
      <w:pBdr>
        <w:bottom w:val="single" w:sz="4" w:space="0" w:color="808080"/>
      </w:pBdr>
      <w:tabs>
        <w:tab w:val="left" w:pos="7088"/>
      </w:tabs>
      <w:spacing w:before="300" w:after="60"/>
      <w:ind w:left="851" w:right="1" w:hanging="851"/>
    </w:pPr>
    <w:rPr>
      <w:rFonts w:ascii="Calibri" w:hAnsi="Calibri"/>
      <w:i w:val="0"/>
      <w:noProof/>
      <w:color w:val="000000"/>
    </w:rPr>
  </w:style>
  <w:style w:type="paragraph" w:styleId="Legenda">
    <w:name w:val="caption"/>
    <w:basedOn w:val="Normalny"/>
    <w:next w:val="Normalny"/>
    <w:link w:val="LegendaZnak"/>
    <w:uiPriority w:val="35"/>
    <w:unhideWhenUsed/>
    <w:qFormat/>
    <w:rsid w:val="000C6BE4"/>
    <w:pPr>
      <w:spacing w:after="200" w:line="240" w:lineRule="auto"/>
      <w:jc w:val="both"/>
    </w:pPr>
    <w:rPr>
      <w:rFonts w:ascii="Arial Narrow" w:eastAsia="Times New Roman" w:hAnsi="Arial Narrow"/>
      <w:i/>
      <w:iCs/>
      <w:color w:val="212745"/>
      <w:sz w:val="18"/>
      <w:szCs w:val="18"/>
      <w:lang w:eastAsia="pl-PL"/>
    </w:rPr>
  </w:style>
  <w:style w:type="character" w:customStyle="1" w:styleId="LegendaZnak">
    <w:name w:val="Legenda Znak"/>
    <w:link w:val="Legenda"/>
    <w:uiPriority w:val="35"/>
    <w:rsid w:val="000C6BE4"/>
    <w:rPr>
      <w:rFonts w:ascii="Arial Narrow" w:eastAsia="Times New Roman" w:hAnsi="Arial Narrow"/>
      <w:i/>
      <w:iCs/>
      <w:color w:val="212745"/>
      <w:sz w:val="18"/>
      <w:szCs w:val="18"/>
      <w:lang w:eastAsia="pl-PL"/>
    </w:rPr>
  </w:style>
  <w:style w:type="character" w:customStyle="1" w:styleId="WYKRESZnak">
    <w:name w:val="WYKRES Znak"/>
    <w:link w:val="WYKRES"/>
    <w:rsid w:val="000C6BE4"/>
    <w:rPr>
      <w:rFonts w:eastAsia="Times New Roman"/>
      <w:iCs/>
      <w:noProof/>
      <w:color w:val="000000"/>
      <w:sz w:val="18"/>
      <w:szCs w:val="18"/>
      <w:lang w:eastAsia="pl-PL"/>
    </w:rPr>
  </w:style>
  <w:style w:type="character" w:customStyle="1" w:styleId="tgc">
    <w:name w:val="_tgc"/>
    <w:basedOn w:val="Domylnaczcionkaakapitu"/>
    <w:rsid w:val="000C6BE4"/>
  </w:style>
  <w:style w:type="paragraph" w:customStyle="1" w:styleId="FOTOGRAFIA">
    <w:name w:val="FOTOGRAFIA"/>
    <w:basedOn w:val="1WYKRES"/>
    <w:link w:val="FOTOGRAFIAZnak"/>
    <w:qFormat/>
    <w:rsid w:val="000C6BE4"/>
    <w:rPr>
      <w:bCs w:val="0"/>
      <w:caps w:val="0"/>
    </w:rPr>
  </w:style>
  <w:style w:type="character" w:customStyle="1" w:styleId="FOTOGRAFIAZnak">
    <w:name w:val="FOTOGRAFIA Znak"/>
    <w:link w:val="FOTOGRAFIA"/>
    <w:rsid w:val="000C6BE4"/>
    <w:rPr>
      <w:rFonts w:ascii="Calibri" w:eastAsia="Calibri" w:hAnsi="Calibri" w:cs="Arial"/>
      <w:bCs w:val="0"/>
      <w:caps w:val="0"/>
      <w:color w:val="808080"/>
      <w:sz w:val="18"/>
      <w:szCs w:val="18"/>
      <w:lang w:eastAsia="pl-PL"/>
    </w:rPr>
  </w:style>
  <w:style w:type="character" w:customStyle="1" w:styleId="v12">
    <w:name w:val="v12"/>
    <w:basedOn w:val="Domylnaczcionkaakapitu"/>
    <w:rsid w:val="000C6BE4"/>
  </w:style>
  <w:style w:type="character" w:styleId="Hipercze">
    <w:name w:val="Hyperlink"/>
    <w:uiPriority w:val="99"/>
    <w:unhideWhenUsed/>
    <w:rsid w:val="000C6BE4"/>
    <w:rPr>
      <w:color w:val="56C7AA"/>
      <w:u w:val="single"/>
    </w:rPr>
  </w:style>
  <w:style w:type="paragraph" w:customStyle="1" w:styleId="1RYSUNEK">
    <w:name w:val="1 RYSUNEK"/>
    <w:basedOn w:val="Normalny"/>
    <w:link w:val="1RYSUNEKZnak"/>
    <w:qFormat/>
    <w:rsid w:val="000C6BE4"/>
    <w:pPr>
      <w:pBdr>
        <w:bottom w:val="single" w:sz="4" w:space="1" w:color="808080"/>
      </w:pBdr>
      <w:spacing w:before="300" w:after="100" w:line="264" w:lineRule="auto"/>
      <w:ind w:left="993" w:hanging="993"/>
    </w:pPr>
    <w:rPr>
      <w:rFonts w:eastAsia="Times New Roman"/>
      <w:smallCaps/>
      <w:color w:val="808080"/>
      <w:sz w:val="20"/>
      <w:szCs w:val="20"/>
      <w:lang w:eastAsia="pl-PL"/>
    </w:rPr>
  </w:style>
  <w:style w:type="character" w:customStyle="1" w:styleId="1RYSUNEKZnak">
    <w:name w:val="1 RYSUNEK Znak"/>
    <w:link w:val="1RYSUNEK"/>
    <w:rsid w:val="000C6BE4"/>
    <w:rPr>
      <w:rFonts w:ascii="Calibri" w:eastAsia="Times New Roman" w:hAnsi="Calibri" w:cs="Times New Roman"/>
      <w:smallCaps/>
      <w:color w:val="808080"/>
      <w:lang w:eastAsia="pl-PL"/>
    </w:rPr>
  </w:style>
  <w:style w:type="character" w:customStyle="1" w:styleId="reference-text">
    <w:name w:val="reference-text"/>
    <w:basedOn w:val="Domylnaczcionkaakapitu"/>
    <w:rsid w:val="000C6BE4"/>
  </w:style>
  <w:style w:type="paragraph" w:customStyle="1" w:styleId="Default">
    <w:name w:val="Default"/>
    <w:rsid w:val="000C6BE4"/>
    <w:pPr>
      <w:autoSpaceDE w:val="0"/>
      <w:autoSpaceDN w:val="0"/>
      <w:adjustRightInd w:val="0"/>
    </w:pPr>
    <w:rPr>
      <w:rFonts w:ascii="Century Gothic" w:hAnsi="Century Gothic" w:cs="Century Gothic"/>
      <w:color w:val="000000"/>
      <w:sz w:val="24"/>
      <w:szCs w:val="24"/>
      <w:lang w:eastAsia="en-US"/>
    </w:rPr>
  </w:style>
  <w:style w:type="paragraph" w:styleId="Tekstpodstawowy2">
    <w:name w:val="Body Text 2"/>
    <w:basedOn w:val="Normalny"/>
    <w:link w:val="Tekstpodstawowy2Znak"/>
    <w:rsid w:val="000C6BE4"/>
    <w:pPr>
      <w:spacing w:after="0" w:line="360" w:lineRule="auto"/>
      <w:jc w:val="both"/>
    </w:pPr>
    <w:rPr>
      <w:rFonts w:ascii="Times New Roman" w:eastAsia="Times New Roman" w:hAnsi="Times New Roman"/>
      <w:sz w:val="24"/>
      <w:szCs w:val="24"/>
      <w:lang w:eastAsia="pl-PL"/>
    </w:rPr>
  </w:style>
  <w:style w:type="character" w:customStyle="1" w:styleId="Tekstpodstawowy2Znak">
    <w:name w:val="Tekst podstawowy 2 Znak"/>
    <w:link w:val="Tekstpodstawowy2"/>
    <w:rsid w:val="000C6BE4"/>
    <w:rPr>
      <w:rFonts w:ascii="Times New Roman" w:eastAsia="Times New Roman" w:hAnsi="Times New Roman" w:cs="Times New Roman"/>
      <w:sz w:val="24"/>
      <w:szCs w:val="24"/>
      <w:lang w:eastAsia="pl-PL"/>
    </w:rPr>
  </w:style>
  <w:style w:type="paragraph" w:customStyle="1" w:styleId="1RDO">
    <w:name w:val="1 ŻRÓDŁO"/>
    <w:basedOn w:val="Nagwek5"/>
    <w:link w:val="1RDOZnak"/>
    <w:rsid w:val="000C6BE4"/>
    <w:pPr>
      <w:spacing w:before="60" w:after="200" w:line="240" w:lineRule="auto"/>
      <w:ind w:left="426" w:hanging="426"/>
      <w:outlineLvl w:val="9"/>
    </w:pPr>
    <w:rPr>
      <w:rFonts w:ascii="Calibri" w:eastAsia="Calibri" w:hAnsi="Calibri"/>
      <w:i/>
      <w:color w:val="A5A5A5"/>
      <w:sz w:val="16"/>
      <w:szCs w:val="16"/>
    </w:rPr>
  </w:style>
  <w:style w:type="character" w:customStyle="1" w:styleId="1RDOZnak">
    <w:name w:val="1 ŻRÓDŁO Znak"/>
    <w:link w:val="1RDO"/>
    <w:rsid w:val="000C6BE4"/>
    <w:rPr>
      <w:rFonts w:ascii="Calibri" w:eastAsia="Calibri" w:hAnsi="Calibri" w:cs="Times New Roman"/>
      <w:i/>
      <w:color w:val="A5A5A5"/>
      <w:sz w:val="16"/>
      <w:szCs w:val="16"/>
      <w:lang w:eastAsia="pl-PL"/>
    </w:rPr>
  </w:style>
  <w:style w:type="paragraph" w:customStyle="1" w:styleId="TEKSTSRWD">
    <w:name w:val="TEKST SRWD"/>
    <w:basedOn w:val="Normalny"/>
    <w:link w:val="TEKSTSRWDChar"/>
    <w:rsid w:val="000C6BE4"/>
    <w:pPr>
      <w:spacing w:line="276" w:lineRule="auto"/>
      <w:jc w:val="both"/>
    </w:pPr>
    <w:rPr>
      <w:rFonts w:ascii="Arial Narrow" w:eastAsia="Times New Roman" w:hAnsi="Arial Narrow"/>
      <w:color w:val="262626"/>
      <w:sz w:val="20"/>
      <w:szCs w:val="20"/>
      <w:lang w:eastAsia="pl-PL"/>
    </w:rPr>
  </w:style>
  <w:style w:type="character" w:customStyle="1" w:styleId="TEKSTSRWDChar">
    <w:name w:val="TEKST SRWD Char"/>
    <w:link w:val="TEKSTSRWD"/>
    <w:rsid w:val="000C6BE4"/>
    <w:rPr>
      <w:rFonts w:ascii="Arial Narrow" w:eastAsia="Times New Roman" w:hAnsi="Arial Narrow" w:cs="Times New Roman"/>
      <w:color w:val="262626"/>
      <w:lang w:eastAsia="pl-PL"/>
    </w:rPr>
  </w:style>
  <w:style w:type="paragraph" w:customStyle="1" w:styleId="WBUtekstpodstawowy">
    <w:name w:val="WBU_tekst_podstawowy"/>
    <w:link w:val="WBUtekstpodstawowyZnak1"/>
    <w:uiPriority w:val="99"/>
    <w:rsid w:val="000C6BE4"/>
    <w:pPr>
      <w:jc w:val="both"/>
    </w:pPr>
    <w:rPr>
      <w:rFonts w:ascii="Myriad Pro Cond" w:eastAsia="Times New Roman" w:hAnsi="Myriad Pro Cond"/>
      <w:szCs w:val="24"/>
    </w:rPr>
  </w:style>
  <w:style w:type="character" w:customStyle="1" w:styleId="WBUtekstpodstawowyZnak1">
    <w:name w:val="WBU_tekst_podstawowy Znak1"/>
    <w:link w:val="WBUtekstpodstawowy"/>
    <w:uiPriority w:val="99"/>
    <w:rsid w:val="000C6BE4"/>
    <w:rPr>
      <w:rFonts w:ascii="Myriad Pro Cond" w:eastAsia="Times New Roman" w:hAnsi="Myriad Pro Cond"/>
      <w:szCs w:val="24"/>
      <w:lang w:val="pl-PL" w:eastAsia="pl-PL" w:bidi="ar-SA"/>
    </w:rPr>
  </w:style>
  <w:style w:type="character" w:customStyle="1" w:styleId="1TEKSTZnak">
    <w:name w:val="1 TEKST Znak"/>
    <w:link w:val="1TEKST"/>
    <w:locked/>
    <w:rsid w:val="000C6BE4"/>
    <w:rPr>
      <w:rFonts w:ascii="Times New Roman" w:eastAsia="Times New Roman" w:hAnsi="Times New Roman" w:cs="Times New Roman"/>
      <w:sz w:val="19"/>
    </w:rPr>
  </w:style>
  <w:style w:type="paragraph" w:customStyle="1" w:styleId="1TEKST">
    <w:name w:val="1 TEKST"/>
    <w:basedOn w:val="Normalny"/>
    <w:link w:val="1TEKSTZnak"/>
    <w:rsid w:val="000C6BE4"/>
    <w:pPr>
      <w:spacing w:before="120" w:after="120" w:line="276" w:lineRule="auto"/>
      <w:jc w:val="both"/>
    </w:pPr>
    <w:rPr>
      <w:rFonts w:ascii="Times New Roman" w:eastAsia="Times New Roman" w:hAnsi="Times New Roman"/>
      <w:sz w:val="19"/>
      <w:szCs w:val="20"/>
    </w:rPr>
  </w:style>
  <w:style w:type="paragraph" w:customStyle="1" w:styleId="1SCHEMAT">
    <w:name w:val="1 SCHEMAT"/>
    <w:basedOn w:val="1WYKRES"/>
    <w:link w:val="1SCHEMATZnak"/>
    <w:qFormat/>
    <w:rsid w:val="000C6BE4"/>
    <w:pPr>
      <w:pBdr>
        <w:bottom w:val="none" w:sz="0" w:space="0" w:color="auto"/>
      </w:pBdr>
      <w:spacing w:before="0"/>
      <w:ind w:left="0" w:firstLine="0"/>
    </w:pPr>
  </w:style>
  <w:style w:type="character" w:customStyle="1" w:styleId="1SCHEMATZnak">
    <w:name w:val="1 SCHEMAT Znak"/>
    <w:link w:val="1SCHEMAT"/>
    <w:rsid w:val="000C6BE4"/>
    <w:rPr>
      <w:rFonts w:ascii="Calibri" w:eastAsia="Calibri" w:hAnsi="Calibri" w:cs="Arial"/>
      <w:bCs/>
      <w:caps/>
      <w:color w:val="808080"/>
      <w:sz w:val="18"/>
      <w:szCs w:val="18"/>
      <w:lang w:eastAsia="pl-PL"/>
    </w:rPr>
  </w:style>
  <w:style w:type="paragraph" w:customStyle="1" w:styleId="RAPORT">
    <w:name w:val="RAPORT"/>
    <w:basedOn w:val="TEKST"/>
    <w:link w:val="RAPORTZnak"/>
    <w:rsid w:val="000C6BE4"/>
    <w:pPr>
      <w:spacing w:before="120" w:after="120"/>
    </w:pPr>
    <w:rPr>
      <w:rFonts w:eastAsia="Times New Roman"/>
      <w:color w:val="404040"/>
      <w:sz w:val="18"/>
      <w:szCs w:val="20"/>
      <w:lang w:eastAsia="pl-PL"/>
    </w:rPr>
  </w:style>
  <w:style w:type="character" w:customStyle="1" w:styleId="RAPORTZnak">
    <w:name w:val="RAPORT Znak"/>
    <w:link w:val="RAPORT"/>
    <w:rsid w:val="000C6BE4"/>
    <w:rPr>
      <w:rFonts w:eastAsia="Times New Roman" w:cs="Arial"/>
      <w:color w:val="404040"/>
      <w:sz w:val="18"/>
      <w:szCs w:val="20"/>
      <w:lang w:eastAsia="pl-PL"/>
    </w:rPr>
  </w:style>
  <w:style w:type="paragraph" w:customStyle="1" w:styleId="RAPORTPODPIS">
    <w:name w:val="RAPORT PODPIS"/>
    <w:basedOn w:val="RDO"/>
    <w:link w:val="RAPORTPODPISZnak"/>
    <w:rsid w:val="000C6BE4"/>
    <w:pPr>
      <w:spacing w:before="120"/>
    </w:pPr>
    <w:rPr>
      <w:i w:val="0"/>
    </w:rPr>
  </w:style>
  <w:style w:type="character" w:customStyle="1" w:styleId="RAPORTPODPISZnak">
    <w:name w:val="RAPORT PODPIS Znak"/>
    <w:link w:val="RAPORTPODPIS"/>
    <w:rsid w:val="000C6BE4"/>
    <w:rPr>
      <w:rFonts w:eastAsia="Times New Roman" w:cs="Arial"/>
      <w:i w:val="0"/>
      <w:color w:val="808080"/>
      <w:sz w:val="16"/>
      <w:szCs w:val="16"/>
      <w:lang w:eastAsia="pl-PL"/>
    </w:rPr>
  </w:style>
  <w:style w:type="paragraph" w:customStyle="1" w:styleId="WBUpunktowanie">
    <w:name w:val="WBU_punktowanie"/>
    <w:basedOn w:val="Normalny"/>
    <w:uiPriority w:val="99"/>
    <w:rsid w:val="000C6BE4"/>
    <w:pPr>
      <w:numPr>
        <w:numId w:val="15"/>
      </w:numPr>
      <w:spacing w:after="0" w:line="240" w:lineRule="auto"/>
      <w:jc w:val="both"/>
    </w:pPr>
    <w:rPr>
      <w:rFonts w:ascii="Myriad Pro Cond" w:eastAsia="Times New Roman" w:hAnsi="Myriad Pro Cond"/>
      <w:sz w:val="20"/>
      <w:lang w:eastAsia="pl-PL"/>
    </w:rPr>
  </w:style>
  <w:style w:type="character" w:styleId="Pogrubienie">
    <w:name w:val="Strong"/>
    <w:uiPriority w:val="22"/>
    <w:qFormat/>
    <w:rsid w:val="000C6BE4"/>
    <w:rPr>
      <w:b/>
      <w:bCs/>
    </w:rPr>
  </w:style>
  <w:style w:type="paragraph" w:styleId="Spistreci1">
    <w:name w:val="toc 1"/>
    <w:basedOn w:val="Normalny"/>
    <w:next w:val="Normalny"/>
    <w:autoRedefine/>
    <w:uiPriority w:val="39"/>
    <w:unhideWhenUsed/>
    <w:rsid w:val="005B6AFA"/>
    <w:pPr>
      <w:tabs>
        <w:tab w:val="right" w:leader="dot" w:pos="9203"/>
      </w:tabs>
      <w:spacing w:before="160" w:after="0" w:line="276" w:lineRule="auto"/>
      <w:ind w:left="284" w:hanging="284"/>
    </w:pPr>
    <w:rPr>
      <w:rFonts w:ascii="Cambria" w:eastAsia="Times New Roman" w:hAnsi="Cambria"/>
      <w:b/>
      <w:caps/>
      <w:noProof/>
      <w:color w:val="365F91"/>
      <w:sz w:val="20"/>
      <w:szCs w:val="20"/>
      <w:lang w:eastAsia="pl-PL"/>
    </w:rPr>
  </w:style>
  <w:style w:type="paragraph" w:styleId="Nagwekspisutreci">
    <w:name w:val="TOC Heading"/>
    <w:basedOn w:val="Nagwek1"/>
    <w:next w:val="Normalny"/>
    <w:uiPriority w:val="39"/>
    <w:unhideWhenUsed/>
    <w:rsid w:val="000C6BE4"/>
    <w:pPr>
      <w:pBdr>
        <w:bottom w:val="single" w:sz="4" w:space="1" w:color="BFBFBF"/>
      </w:pBdr>
      <w:spacing w:before="480" w:after="120" w:line="240" w:lineRule="auto"/>
      <w:ind w:left="1417" w:hanging="1418"/>
      <w:outlineLvl w:val="9"/>
    </w:pPr>
    <w:rPr>
      <w:rFonts w:ascii="Myriad Pro" w:eastAsia="Calibri" w:hAnsi="Myriad Pro" w:cs="Arial"/>
      <w:caps/>
      <w:color w:val="000000"/>
      <w:sz w:val="46"/>
      <w:szCs w:val="46"/>
      <w:u w:val="single"/>
      <w:lang w:eastAsia="pl-PL"/>
    </w:rPr>
  </w:style>
  <w:style w:type="paragraph" w:styleId="Spistreci2">
    <w:name w:val="toc 2"/>
    <w:basedOn w:val="Normalny"/>
    <w:next w:val="Normalny"/>
    <w:autoRedefine/>
    <w:uiPriority w:val="39"/>
    <w:unhideWhenUsed/>
    <w:qFormat/>
    <w:rsid w:val="0099647E"/>
    <w:pPr>
      <w:tabs>
        <w:tab w:val="left" w:pos="709"/>
        <w:tab w:val="right" w:leader="dot" w:pos="9203"/>
      </w:tabs>
      <w:spacing w:before="20" w:after="0" w:line="276" w:lineRule="auto"/>
      <w:ind w:left="220" w:firstLine="64"/>
    </w:pPr>
    <w:rPr>
      <w:rFonts w:eastAsia="Times New Roman" w:cs="Calibri"/>
      <w:iCs/>
      <w:noProof/>
      <w:color w:val="808080"/>
      <w:sz w:val="20"/>
      <w:szCs w:val="20"/>
      <w:lang w:eastAsia="pl-PL"/>
    </w:rPr>
  </w:style>
  <w:style w:type="paragraph" w:customStyle="1" w:styleId="TEKSTPOGRUBIONY">
    <w:name w:val="TEKST POGRUBIONY"/>
    <w:basedOn w:val="TEKST"/>
    <w:link w:val="TEKSTPOGRUBIONYZnak"/>
    <w:rsid w:val="000C6BE4"/>
    <w:pPr>
      <w:spacing w:before="120" w:after="120"/>
    </w:pPr>
    <w:rPr>
      <w:rFonts w:eastAsia="Times New Roman"/>
      <w:b/>
      <w:color w:val="404040"/>
      <w:sz w:val="18"/>
      <w:szCs w:val="20"/>
      <w:lang w:eastAsia="pl-PL"/>
    </w:rPr>
  </w:style>
  <w:style w:type="character" w:customStyle="1" w:styleId="TEKSTPOGRUBIONYZnak">
    <w:name w:val="TEKST POGRUBIONY Znak"/>
    <w:link w:val="TEKSTPOGRUBIONY"/>
    <w:rsid w:val="000C6BE4"/>
    <w:rPr>
      <w:rFonts w:eastAsia="Times New Roman" w:cs="Arial"/>
      <w:b/>
      <w:color w:val="404040"/>
      <w:sz w:val="18"/>
      <w:szCs w:val="20"/>
      <w:lang w:eastAsia="pl-PL"/>
    </w:rPr>
  </w:style>
  <w:style w:type="paragraph" w:customStyle="1" w:styleId="tabela0">
    <w:name w:val="tabela"/>
    <w:basedOn w:val="WYKRES"/>
    <w:link w:val="tabelaZnak0"/>
    <w:rsid w:val="000C6BE4"/>
    <w:rPr>
      <w:iCs w:val="0"/>
    </w:rPr>
  </w:style>
  <w:style w:type="character" w:customStyle="1" w:styleId="tabelaZnak0">
    <w:name w:val="tabela Znak"/>
    <w:link w:val="tabela0"/>
    <w:rsid w:val="000C6BE4"/>
    <w:rPr>
      <w:rFonts w:eastAsia="Times New Roman"/>
      <w:iCs w:val="0"/>
      <w:noProof/>
      <w:color w:val="000000"/>
      <w:sz w:val="18"/>
      <w:szCs w:val="18"/>
      <w:lang w:eastAsia="pl-PL"/>
    </w:rPr>
  </w:style>
  <w:style w:type="paragraph" w:customStyle="1" w:styleId="01Tekstpodstawowz">
    <w:name w:val="01 Tekst podstawowz"/>
    <w:basedOn w:val="WBUtekstpodstawowy"/>
    <w:link w:val="01TekstpodstawowzZnak"/>
    <w:uiPriority w:val="99"/>
    <w:qFormat/>
    <w:rsid w:val="000C6BE4"/>
    <w:pPr>
      <w:tabs>
        <w:tab w:val="left" w:pos="142"/>
        <w:tab w:val="left" w:pos="284"/>
        <w:tab w:val="left" w:pos="425"/>
        <w:tab w:val="left" w:pos="567"/>
      </w:tabs>
      <w:spacing w:before="60"/>
    </w:pPr>
  </w:style>
  <w:style w:type="character" w:customStyle="1" w:styleId="01TekstpodstawowzZnak">
    <w:name w:val="01 Tekst podstawowz Znak"/>
    <w:link w:val="01Tekstpodstawowz"/>
    <w:uiPriority w:val="99"/>
    <w:rsid w:val="000C6BE4"/>
    <w:rPr>
      <w:rFonts w:ascii="Myriad Pro Cond" w:eastAsia="Times New Roman" w:hAnsi="Myriad Pro Cond" w:cs="Times New Roman"/>
      <w:sz w:val="20"/>
      <w:szCs w:val="24"/>
      <w:lang w:val="pl-PL" w:eastAsia="pl-PL" w:bidi="ar-SA"/>
    </w:rPr>
  </w:style>
  <w:style w:type="paragraph" w:customStyle="1" w:styleId="03Poziom2">
    <w:name w:val="03 Poziom 2"/>
    <w:basedOn w:val="Normalny"/>
    <w:link w:val="03Poziom2Znak"/>
    <w:rsid w:val="000C6BE4"/>
    <w:pPr>
      <w:spacing w:before="240" w:after="120" w:line="240" w:lineRule="auto"/>
    </w:pPr>
    <w:rPr>
      <w:rFonts w:ascii="Myriad Pro Cond" w:eastAsia="Times New Roman" w:hAnsi="Myriad Pro Cond"/>
      <w:b/>
      <w:caps/>
      <w:color w:val="993300"/>
      <w:sz w:val="24"/>
      <w:szCs w:val="24"/>
      <w:lang w:eastAsia="pl-PL"/>
    </w:rPr>
  </w:style>
  <w:style w:type="character" w:customStyle="1" w:styleId="03Poziom2Znak">
    <w:name w:val="03 Poziom 2 Znak"/>
    <w:link w:val="03Poziom2"/>
    <w:rsid w:val="000C6BE4"/>
    <w:rPr>
      <w:rFonts w:ascii="Myriad Pro Cond" w:eastAsia="Times New Roman" w:hAnsi="Myriad Pro Cond" w:cs="Times New Roman"/>
      <w:b/>
      <w:caps/>
      <w:color w:val="993300"/>
      <w:sz w:val="24"/>
      <w:szCs w:val="24"/>
      <w:lang w:eastAsia="pl-PL"/>
    </w:rPr>
  </w:style>
  <w:style w:type="paragraph" w:customStyle="1" w:styleId="1TABELA">
    <w:name w:val="1. TABELA"/>
    <w:basedOn w:val="Legenda"/>
    <w:link w:val="1TABELAZnak"/>
    <w:rsid w:val="000C6BE4"/>
    <w:pPr>
      <w:keepNext/>
      <w:spacing w:before="400" w:after="120"/>
      <w:jc w:val="left"/>
    </w:pPr>
    <w:rPr>
      <w:rFonts w:ascii="Calibri" w:eastAsia="Calibri" w:hAnsi="Calibri"/>
      <w:bCs/>
      <w:i w:val="0"/>
      <w:iCs w:val="0"/>
      <w:caps/>
      <w:color w:val="808080"/>
      <w:szCs w:val="20"/>
    </w:rPr>
  </w:style>
  <w:style w:type="character" w:customStyle="1" w:styleId="1TABELAZnak">
    <w:name w:val="1. TABELA Znak"/>
    <w:link w:val="1TABELA"/>
    <w:rsid w:val="000C6BE4"/>
    <w:rPr>
      <w:rFonts w:ascii="Calibri" w:eastAsia="Calibri" w:hAnsi="Calibri" w:cs="Arial"/>
      <w:bCs/>
      <w:caps/>
      <w:color w:val="808080"/>
      <w:sz w:val="18"/>
      <w:szCs w:val="20"/>
      <w:lang w:eastAsia="pl-PL"/>
    </w:rPr>
  </w:style>
  <w:style w:type="character" w:customStyle="1" w:styleId="TEKSTChar">
    <w:name w:val="TEKST Char"/>
    <w:locked/>
    <w:rsid w:val="000C6BE4"/>
    <w:rPr>
      <w:rFonts w:ascii="Arial Narrow" w:eastAsia="Calibri" w:hAnsi="Arial Narrow" w:cs="Arial"/>
      <w:sz w:val="24"/>
      <w:szCs w:val="24"/>
      <w:lang w:eastAsia="pl-PL"/>
    </w:rPr>
  </w:style>
  <w:style w:type="paragraph" w:styleId="NormalnyWeb">
    <w:name w:val="Normal (Web)"/>
    <w:basedOn w:val="Normalny"/>
    <w:uiPriority w:val="99"/>
    <w:unhideWhenUsed/>
    <w:rsid w:val="000C6BE4"/>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TematkomentarzaZnak">
    <w:name w:val="Temat komentarza Znak"/>
    <w:link w:val="Tematkomentarza"/>
    <w:uiPriority w:val="99"/>
    <w:semiHidden/>
    <w:rsid w:val="000C6BE4"/>
    <w:rPr>
      <w:rFonts w:ascii="Arial Narrow" w:eastAsia="Times New Roman" w:hAnsi="Arial Narrow" w:cs="Times New Roman"/>
      <w:b/>
      <w:bCs/>
      <w:sz w:val="20"/>
      <w:szCs w:val="20"/>
      <w:lang w:eastAsia="pl-PL" w:bidi="en-US"/>
    </w:rPr>
  </w:style>
  <w:style w:type="paragraph" w:styleId="Tematkomentarza">
    <w:name w:val="annotation subject"/>
    <w:basedOn w:val="Tekstkomentarza"/>
    <w:next w:val="Tekstkomentarza"/>
    <w:link w:val="TematkomentarzaZnak"/>
    <w:uiPriority w:val="99"/>
    <w:semiHidden/>
    <w:unhideWhenUsed/>
    <w:rsid w:val="000C6BE4"/>
    <w:pPr>
      <w:suppressAutoHyphens w:val="0"/>
      <w:spacing w:after="200"/>
      <w:ind w:firstLine="0"/>
    </w:pPr>
    <w:rPr>
      <w:rFonts w:ascii="Arial Narrow" w:eastAsia="Times New Roman" w:hAnsi="Arial Narrow"/>
      <w:b/>
      <w:bCs/>
      <w:lang w:eastAsia="pl-PL"/>
    </w:rPr>
  </w:style>
  <w:style w:type="character" w:customStyle="1" w:styleId="TekstprzypisukocowegoZnak">
    <w:name w:val="Tekst przypisu końcowego Znak"/>
    <w:link w:val="Tekstprzypisukocowego"/>
    <w:uiPriority w:val="99"/>
    <w:semiHidden/>
    <w:rsid w:val="000C6BE4"/>
    <w:rPr>
      <w:rFonts w:ascii="Calibri" w:eastAsia="Calibri" w:hAnsi="Calibri" w:cs="Times New Roman"/>
      <w:sz w:val="20"/>
      <w:szCs w:val="20"/>
    </w:rPr>
  </w:style>
  <w:style w:type="paragraph" w:styleId="Tekstprzypisukocowego">
    <w:name w:val="endnote text"/>
    <w:basedOn w:val="Normalny"/>
    <w:link w:val="TekstprzypisukocowegoZnak"/>
    <w:uiPriority w:val="99"/>
    <w:semiHidden/>
    <w:unhideWhenUsed/>
    <w:rsid w:val="000C6BE4"/>
    <w:pPr>
      <w:spacing w:after="0" w:line="240" w:lineRule="auto"/>
    </w:pPr>
    <w:rPr>
      <w:sz w:val="20"/>
      <w:szCs w:val="20"/>
    </w:rPr>
  </w:style>
  <w:style w:type="paragraph" w:styleId="Spistreci4">
    <w:name w:val="toc 4"/>
    <w:basedOn w:val="Normalny"/>
    <w:next w:val="Normalny"/>
    <w:autoRedefine/>
    <w:uiPriority w:val="39"/>
    <w:unhideWhenUsed/>
    <w:rsid w:val="000C6BE4"/>
    <w:pPr>
      <w:spacing w:after="100"/>
      <w:ind w:left="660"/>
    </w:pPr>
    <w:rPr>
      <w:rFonts w:eastAsia="Times New Roman"/>
      <w:lang w:eastAsia="pl-PL"/>
    </w:rPr>
  </w:style>
  <w:style w:type="paragraph" w:styleId="Spistreci5">
    <w:name w:val="toc 5"/>
    <w:basedOn w:val="Normalny"/>
    <w:next w:val="Normalny"/>
    <w:autoRedefine/>
    <w:uiPriority w:val="39"/>
    <w:unhideWhenUsed/>
    <w:rsid w:val="000C6BE4"/>
    <w:pPr>
      <w:spacing w:after="100"/>
      <w:ind w:left="880"/>
    </w:pPr>
    <w:rPr>
      <w:rFonts w:eastAsia="Times New Roman"/>
      <w:lang w:eastAsia="pl-PL"/>
    </w:rPr>
  </w:style>
  <w:style w:type="paragraph" w:styleId="Spistreci6">
    <w:name w:val="toc 6"/>
    <w:basedOn w:val="Normalny"/>
    <w:next w:val="Normalny"/>
    <w:autoRedefine/>
    <w:uiPriority w:val="39"/>
    <w:unhideWhenUsed/>
    <w:rsid w:val="000C6BE4"/>
    <w:pPr>
      <w:spacing w:after="100"/>
      <w:ind w:left="1100"/>
    </w:pPr>
    <w:rPr>
      <w:rFonts w:eastAsia="Times New Roman"/>
      <w:lang w:eastAsia="pl-PL"/>
    </w:rPr>
  </w:style>
  <w:style w:type="paragraph" w:styleId="Spistreci7">
    <w:name w:val="toc 7"/>
    <w:basedOn w:val="Normalny"/>
    <w:next w:val="Normalny"/>
    <w:autoRedefine/>
    <w:uiPriority w:val="39"/>
    <w:unhideWhenUsed/>
    <w:rsid w:val="000C6BE4"/>
    <w:pPr>
      <w:spacing w:after="100"/>
      <w:ind w:left="1320"/>
    </w:pPr>
    <w:rPr>
      <w:rFonts w:eastAsia="Times New Roman"/>
      <w:lang w:eastAsia="pl-PL"/>
    </w:rPr>
  </w:style>
  <w:style w:type="paragraph" w:styleId="Spistreci8">
    <w:name w:val="toc 8"/>
    <w:basedOn w:val="Normalny"/>
    <w:next w:val="Normalny"/>
    <w:autoRedefine/>
    <w:uiPriority w:val="39"/>
    <w:unhideWhenUsed/>
    <w:rsid w:val="000C6BE4"/>
    <w:pPr>
      <w:spacing w:after="100"/>
      <w:ind w:left="1540"/>
    </w:pPr>
    <w:rPr>
      <w:rFonts w:eastAsia="Times New Roman"/>
      <w:lang w:eastAsia="pl-PL"/>
    </w:rPr>
  </w:style>
  <w:style w:type="paragraph" w:styleId="Spistreci9">
    <w:name w:val="toc 9"/>
    <w:basedOn w:val="Normalny"/>
    <w:next w:val="Normalny"/>
    <w:autoRedefine/>
    <w:uiPriority w:val="39"/>
    <w:unhideWhenUsed/>
    <w:rsid w:val="000C6BE4"/>
    <w:pPr>
      <w:spacing w:after="100"/>
      <w:ind w:left="1760"/>
    </w:pPr>
    <w:rPr>
      <w:rFonts w:eastAsia="Times New Roman"/>
      <w:lang w:eastAsia="pl-PL"/>
    </w:rPr>
  </w:style>
  <w:style w:type="paragraph" w:customStyle="1" w:styleId="RYSUNEK">
    <w:name w:val="RYSUNEK"/>
    <w:basedOn w:val="Legenda"/>
    <w:link w:val="RYSUNEKZnak"/>
    <w:qFormat/>
    <w:rsid w:val="00BD6D73"/>
    <w:pPr>
      <w:autoSpaceDE w:val="0"/>
      <w:autoSpaceDN w:val="0"/>
      <w:adjustRightInd w:val="0"/>
      <w:spacing w:before="300" w:after="60"/>
    </w:pPr>
    <w:rPr>
      <w:rFonts w:ascii="Calibri Light" w:hAnsi="Calibri Light"/>
      <w:bCs/>
      <w:iCs w:val="0"/>
      <w:color w:val="000000"/>
      <w:sz w:val="20"/>
    </w:rPr>
  </w:style>
  <w:style w:type="character" w:customStyle="1" w:styleId="RYSUNEKZnak">
    <w:name w:val="RYSUNEK Znak"/>
    <w:link w:val="RYSUNEK"/>
    <w:rsid w:val="00BD6D73"/>
    <w:rPr>
      <w:rFonts w:ascii="Calibri Light" w:eastAsia="Times New Roman" w:hAnsi="Calibri Light" w:cs="Calibri"/>
      <w:bCs/>
      <w:i/>
      <w:iCs w:val="0"/>
      <w:color w:val="000000"/>
      <w:sz w:val="20"/>
      <w:szCs w:val="18"/>
      <w:lang w:eastAsia="pl-PL"/>
    </w:rPr>
  </w:style>
  <w:style w:type="character" w:styleId="Odwoaniedokomentarza">
    <w:name w:val="annotation reference"/>
    <w:uiPriority w:val="99"/>
    <w:semiHidden/>
    <w:unhideWhenUsed/>
    <w:rsid w:val="00AB0563"/>
    <w:rPr>
      <w:sz w:val="16"/>
      <w:szCs w:val="16"/>
    </w:rPr>
  </w:style>
  <w:style w:type="character" w:customStyle="1" w:styleId="highlight">
    <w:name w:val="highlight"/>
    <w:basedOn w:val="Domylnaczcionkaakapitu"/>
    <w:rsid w:val="00324E63"/>
  </w:style>
  <w:style w:type="paragraph" w:customStyle="1" w:styleId="rdo0">
    <w:name w:val="źródło"/>
    <w:basedOn w:val="Legenda"/>
    <w:next w:val="Normalny"/>
    <w:link w:val="rdoZnak0"/>
    <w:qFormat/>
    <w:locked/>
    <w:rsid w:val="004964B3"/>
    <w:pPr>
      <w:tabs>
        <w:tab w:val="left" w:pos="7088"/>
      </w:tabs>
      <w:spacing w:after="60"/>
      <w:ind w:left="851" w:hanging="851"/>
      <w:contextualSpacing/>
      <w:jc w:val="left"/>
      <w:textboxTightWrap w:val="allLines"/>
    </w:pPr>
    <w:rPr>
      <w:rFonts w:asciiTheme="minorHAnsi" w:eastAsia="Calibri" w:hAnsiTheme="minorHAnsi" w:cs="Arial"/>
      <w:bCs/>
      <w:iCs w:val="0"/>
      <w:noProof/>
      <w:color w:val="808080" w:themeColor="background1" w:themeShade="80"/>
      <w:sz w:val="16"/>
      <w:szCs w:val="16"/>
    </w:rPr>
  </w:style>
  <w:style w:type="character" w:customStyle="1" w:styleId="rdoZnak0">
    <w:name w:val="źródło Znak"/>
    <w:basedOn w:val="Domylnaczcionkaakapitu"/>
    <w:link w:val="rdo0"/>
    <w:rsid w:val="004964B3"/>
    <w:rPr>
      <w:rFonts w:asciiTheme="minorHAnsi" w:hAnsiTheme="minorHAnsi" w:cs="Arial"/>
      <w:bCs/>
      <w:i/>
      <w:noProof/>
      <w:color w:val="808080" w:themeColor="background1" w:themeShade="80"/>
      <w:sz w:val="16"/>
      <w:szCs w:val="16"/>
    </w:rPr>
  </w:style>
</w:styles>
</file>

<file path=word/webSettings.xml><?xml version="1.0" encoding="utf-8"?>
<w:webSettings xmlns:r="http://schemas.openxmlformats.org/officeDocument/2006/relationships" xmlns:w="http://schemas.openxmlformats.org/wordprocessingml/2006/main">
  <w:divs>
    <w:div w:id="14502461">
      <w:bodyDiv w:val="1"/>
      <w:marLeft w:val="0"/>
      <w:marRight w:val="0"/>
      <w:marTop w:val="0"/>
      <w:marBottom w:val="0"/>
      <w:divBdr>
        <w:top w:val="none" w:sz="0" w:space="0" w:color="auto"/>
        <w:left w:val="none" w:sz="0" w:space="0" w:color="auto"/>
        <w:bottom w:val="none" w:sz="0" w:space="0" w:color="auto"/>
        <w:right w:val="none" w:sz="0" w:space="0" w:color="auto"/>
      </w:divBdr>
    </w:div>
    <w:div w:id="516311279">
      <w:bodyDiv w:val="1"/>
      <w:marLeft w:val="0"/>
      <w:marRight w:val="0"/>
      <w:marTop w:val="0"/>
      <w:marBottom w:val="0"/>
      <w:divBdr>
        <w:top w:val="none" w:sz="0" w:space="0" w:color="auto"/>
        <w:left w:val="none" w:sz="0" w:space="0" w:color="auto"/>
        <w:bottom w:val="none" w:sz="0" w:space="0" w:color="auto"/>
        <w:right w:val="none" w:sz="0" w:space="0" w:color="auto"/>
      </w:divBdr>
    </w:div>
    <w:div w:id="586308155">
      <w:bodyDiv w:val="1"/>
      <w:marLeft w:val="0"/>
      <w:marRight w:val="0"/>
      <w:marTop w:val="0"/>
      <w:marBottom w:val="0"/>
      <w:divBdr>
        <w:top w:val="none" w:sz="0" w:space="0" w:color="auto"/>
        <w:left w:val="none" w:sz="0" w:space="0" w:color="auto"/>
        <w:bottom w:val="none" w:sz="0" w:space="0" w:color="auto"/>
        <w:right w:val="none" w:sz="0" w:space="0" w:color="auto"/>
      </w:divBdr>
    </w:div>
    <w:div w:id="689337947">
      <w:bodyDiv w:val="1"/>
      <w:marLeft w:val="0"/>
      <w:marRight w:val="0"/>
      <w:marTop w:val="0"/>
      <w:marBottom w:val="0"/>
      <w:divBdr>
        <w:top w:val="none" w:sz="0" w:space="0" w:color="auto"/>
        <w:left w:val="none" w:sz="0" w:space="0" w:color="auto"/>
        <w:bottom w:val="none" w:sz="0" w:space="0" w:color="auto"/>
        <w:right w:val="none" w:sz="0" w:space="0" w:color="auto"/>
      </w:divBdr>
    </w:div>
    <w:div w:id="1104425085">
      <w:bodyDiv w:val="1"/>
      <w:marLeft w:val="0"/>
      <w:marRight w:val="0"/>
      <w:marTop w:val="0"/>
      <w:marBottom w:val="0"/>
      <w:divBdr>
        <w:top w:val="none" w:sz="0" w:space="0" w:color="auto"/>
        <w:left w:val="none" w:sz="0" w:space="0" w:color="auto"/>
        <w:bottom w:val="none" w:sz="0" w:space="0" w:color="auto"/>
        <w:right w:val="none" w:sz="0" w:space="0" w:color="auto"/>
      </w:divBdr>
    </w:div>
    <w:div w:id="1499611393">
      <w:bodyDiv w:val="1"/>
      <w:marLeft w:val="0"/>
      <w:marRight w:val="0"/>
      <w:marTop w:val="0"/>
      <w:marBottom w:val="0"/>
      <w:divBdr>
        <w:top w:val="none" w:sz="0" w:space="0" w:color="auto"/>
        <w:left w:val="none" w:sz="0" w:space="0" w:color="auto"/>
        <w:bottom w:val="none" w:sz="0" w:space="0" w:color="auto"/>
        <w:right w:val="none" w:sz="0" w:space="0" w:color="auto"/>
      </w:divBdr>
      <w:divsChild>
        <w:div w:id="263656735">
          <w:marLeft w:val="0"/>
          <w:marRight w:val="0"/>
          <w:marTop w:val="0"/>
          <w:marBottom w:val="0"/>
          <w:divBdr>
            <w:top w:val="none" w:sz="0" w:space="0" w:color="auto"/>
            <w:left w:val="none" w:sz="0" w:space="0" w:color="auto"/>
            <w:bottom w:val="none" w:sz="0" w:space="0" w:color="auto"/>
            <w:right w:val="none" w:sz="0" w:space="0" w:color="auto"/>
          </w:divBdr>
        </w:div>
        <w:div w:id="375542332">
          <w:marLeft w:val="0"/>
          <w:marRight w:val="0"/>
          <w:marTop w:val="0"/>
          <w:marBottom w:val="0"/>
          <w:divBdr>
            <w:top w:val="none" w:sz="0" w:space="0" w:color="auto"/>
            <w:left w:val="none" w:sz="0" w:space="0" w:color="auto"/>
            <w:bottom w:val="none" w:sz="0" w:space="0" w:color="auto"/>
            <w:right w:val="none" w:sz="0" w:space="0" w:color="auto"/>
          </w:divBdr>
        </w:div>
        <w:div w:id="1610117972">
          <w:marLeft w:val="0"/>
          <w:marRight w:val="0"/>
          <w:marTop w:val="0"/>
          <w:marBottom w:val="0"/>
          <w:divBdr>
            <w:top w:val="none" w:sz="0" w:space="0" w:color="auto"/>
            <w:left w:val="none" w:sz="0" w:space="0" w:color="auto"/>
            <w:bottom w:val="none" w:sz="0" w:space="0" w:color="auto"/>
            <w:right w:val="none" w:sz="0" w:space="0" w:color="auto"/>
          </w:divBdr>
        </w:div>
      </w:divsChild>
    </w:div>
    <w:div w:id="1615751689">
      <w:bodyDiv w:val="1"/>
      <w:marLeft w:val="0"/>
      <w:marRight w:val="0"/>
      <w:marTop w:val="0"/>
      <w:marBottom w:val="0"/>
      <w:divBdr>
        <w:top w:val="none" w:sz="0" w:space="0" w:color="auto"/>
        <w:left w:val="none" w:sz="0" w:space="0" w:color="auto"/>
        <w:bottom w:val="none" w:sz="0" w:space="0" w:color="auto"/>
        <w:right w:val="none" w:sz="0" w:space="0" w:color="auto"/>
      </w:divBdr>
    </w:div>
    <w:div w:id="1650554912">
      <w:bodyDiv w:val="1"/>
      <w:marLeft w:val="0"/>
      <w:marRight w:val="0"/>
      <w:marTop w:val="0"/>
      <w:marBottom w:val="0"/>
      <w:divBdr>
        <w:top w:val="none" w:sz="0" w:space="0" w:color="auto"/>
        <w:left w:val="none" w:sz="0" w:space="0" w:color="auto"/>
        <w:bottom w:val="none" w:sz="0" w:space="0" w:color="auto"/>
        <w:right w:val="none" w:sz="0" w:space="0" w:color="auto"/>
      </w:divBdr>
    </w:div>
    <w:div w:id="1677341808">
      <w:bodyDiv w:val="1"/>
      <w:marLeft w:val="0"/>
      <w:marRight w:val="0"/>
      <w:marTop w:val="0"/>
      <w:marBottom w:val="0"/>
      <w:divBdr>
        <w:top w:val="none" w:sz="0" w:space="0" w:color="auto"/>
        <w:left w:val="none" w:sz="0" w:space="0" w:color="auto"/>
        <w:bottom w:val="none" w:sz="0" w:space="0" w:color="auto"/>
        <w:right w:val="none" w:sz="0" w:space="0" w:color="auto"/>
      </w:divBdr>
    </w:div>
    <w:div w:id="1879126408">
      <w:bodyDiv w:val="1"/>
      <w:marLeft w:val="0"/>
      <w:marRight w:val="0"/>
      <w:marTop w:val="0"/>
      <w:marBottom w:val="0"/>
      <w:divBdr>
        <w:top w:val="none" w:sz="0" w:space="0" w:color="auto"/>
        <w:left w:val="none" w:sz="0" w:space="0" w:color="auto"/>
        <w:bottom w:val="none" w:sz="0" w:space="0" w:color="auto"/>
        <w:right w:val="none" w:sz="0" w:space="0" w:color="auto"/>
      </w:divBdr>
    </w:div>
    <w:div w:id="1920871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footer" Target="footer4.xml"/><Relationship Id="rId34" Type="http://schemas.openxmlformats.org/officeDocument/2006/relationships/image" Target="media/image13.jpeg"/><Relationship Id="rId42" Type="http://schemas.openxmlformats.org/officeDocument/2006/relationships/header" Target="header8.xml"/><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0.jpeg"/><Relationship Id="rId63" Type="http://schemas.openxmlformats.org/officeDocument/2006/relationships/image" Target="media/image38.png"/><Relationship Id="rId68" Type="http://schemas.openxmlformats.org/officeDocument/2006/relationships/image" Target="media/image41.jpeg"/><Relationship Id="rId76" Type="http://schemas.openxmlformats.org/officeDocument/2006/relationships/image" Target="media/image47.jpeg"/><Relationship Id="rId84" Type="http://schemas.openxmlformats.org/officeDocument/2006/relationships/image" Target="media/image49.png"/><Relationship Id="rId89" Type="http://schemas.openxmlformats.org/officeDocument/2006/relationships/image" Target="media/image54.jpeg"/><Relationship Id="rId97" Type="http://schemas.openxmlformats.org/officeDocument/2006/relationships/image" Target="media/image62.jpeg"/><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57.jpeg"/><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9.jpeg"/><Relationship Id="rId11" Type="http://schemas.openxmlformats.org/officeDocument/2006/relationships/header" Target="header2.xml"/><Relationship Id="rId24" Type="http://schemas.openxmlformats.org/officeDocument/2006/relationships/image" Target="media/image6.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2.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39.jpeg"/><Relationship Id="rId74" Type="http://schemas.openxmlformats.org/officeDocument/2006/relationships/image" Target="media/image45.jpeg"/><Relationship Id="rId79" Type="http://schemas.openxmlformats.org/officeDocument/2006/relationships/header" Target="header14.xml"/><Relationship Id="rId87" Type="http://schemas.openxmlformats.org/officeDocument/2006/relationships/image" Target="media/image52.jpe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6.jpeg"/><Relationship Id="rId82" Type="http://schemas.openxmlformats.org/officeDocument/2006/relationships/header" Target="header16.xml"/><Relationship Id="rId90" Type="http://schemas.openxmlformats.org/officeDocument/2006/relationships/image" Target="media/image55.jpeg"/><Relationship Id="rId95" Type="http://schemas.openxmlformats.org/officeDocument/2006/relationships/image" Target="media/image60.jpeg"/><Relationship Id="rId19" Type="http://schemas.openxmlformats.org/officeDocument/2006/relationships/header" Target="header4.xml"/><Relationship Id="rId14" Type="http://schemas.openxmlformats.org/officeDocument/2006/relationships/footer" Target="footer3.xml"/><Relationship Id="rId22" Type="http://schemas.openxmlformats.org/officeDocument/2006/relationships/image" Target="media/image5.jpeg"/><Relationship Id="rId27" Type="http://schemas.openxmlformats.org/officeDocument/2006/relationships/header" Target="header6.xml"/><Relationship Id="rId30" Type="http://schemas.openxmlformats.org/officeDocument/2006/relationships/image" Target="media/image10.jpeg"/><Relationship Id="rId35" Type="http://schemas.openxmlformats.org/officeDocument/2006/relationships/image" Target="media/image14.jpeg"/><Relationship Id="rId43" Type="http://schemas.openxmlformats.org/officeDocument/2006/relationships/header" Target="header9.xml"/><Relationship Id="rId48" Type="http://schemas.openxmlformats.org/officeDocument/2006/relationships/image" Target="media/image25.jpeg"/><Relationship Id="rId56" Type="http://schemas.openxmlformats.org/officeDocument/2006/relationships/image" Target="media/image31.jpeg"/><Relationship Id="rId64" Type="http://schemas.openxmlformats.org/officeDocument/2006/relationships/header" Target="header11.xml"/><Relationship Id="rId69" Type="http://schemas.openxmlformats.org/officeDocument/2006/relationships/header" Target="header12.xml"/><Relationship Id="rId77" Type="http://schemas.openxmlformats.org/officeDocument/2006/relationships/header" Target="header13.xml"/><Relationship Id="rId100" Type="http://schemas.openxmlformats.org/officeDocument/2006/relationships/hyperlink" Target="https://mgm.gov.pl/pl/rybolowstwo/po-ryby-morze-2014-2020/" TargetMode="External"/><Relationship Id="rId8" Type="http://schemas.openxmlformats.org/officeDocument/2006/relationships/endnotes" Target="endnotes.xml"/><Relationship Id="rId51" Type="http://schemas.openxmlformats.org/officeDocument/2006/relationships/header" Target="header10.xml"/><Relationship Id="rId72" Type="http://schemas.openxmlformats.org/officeDocument/2006/relationships/image" Target="media/image43.png"/><Relationship Id="rId80" Type="http://schemas.openxmlformats.org/officeDocument/2006/relationships/header" Target="header15.xml"/><Relationship Id="rId85" Type="http://schemas.openxmlformats.org/officeDocument/2006/relationships/image" Target="media/image50.emf"/><Relationship Id="rId93" Type="http://schemas.openxmlformats.org/officeDocument/2006/relationships/image" Target="media/image58.jpeg"/><Relationship Id="rId98" Type="http://schemas.openxmlformats.org/officeDocument/2006/relationships/image" Target="media/image63.emf"/><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7.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3.jpeg"/><Relationship Id="rId59" Type="http://schemas.openxmlformats.org/officeDocument/2006/relationships/image" Target="media/image34.jpeg"/><Relationship Id="rId67" Type="http://schemas.openxmlformats.org/officeDocument/2006/relationships/image" Target="media/image40.jpeg"/><Relationship Id="rId20" Type="http://schemas.openxmlformats.org/officeDocument/2006/relationships/header" Target="header5.xml"/><Relationship Id="rId41" Type="http://schemas.openxmlformats.org/officeDocument/2006/relationships/image" Target="media/image20.jpeg"/><Relationship Id="rId54" Type="http://schemas.openxmlformats.org/officeDocument/2006/relationships/image" Target="media/image29.jpeg"/><Relationship Id="rId62" Type="http://schemas.openxmlformats.org/officeDocument/2006/relationships/image" Target="media/image37.png"/><Relationship Id="rId70" Type="http://schemas.openxmlformats.org/officeDocument/2006/relationships/footer" Target="footer10.xml"/><Relationship Id="rId75" Type="http://schemas.openxmlformats.org/officeDocument/2006/relationships/image" Target="media/image46.jpeg"/><Relationship Id="rId83" Type="http://schemas.openxmlformats.org/officeDocument/2006/relationships/image" Target="media/image48.png"/><Relationship Id="rId88" Type="http://schemas.openxmlformats.org/officeDocument/2006/relationships/image" Target="media/image53.jpeg"/><Relationship Id="rId91" Type="http://schemas.openxmlformats.org/officeDocument/2006/relationships/image" Target="media/image56.jpeg"/><Relationship Id="rId96"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footer" Target="footer5.xml"/><Relationship Id="rId28" Type="http://schemas.openxmlformats.org/officeDocument/2006/relationships/footer" Target="footer6.xml"/><Relationship Id="rId36" Type="http://schemas.openxmlformats.org/officeDocument/2006/relationships/image" Target="media/image15.jpeg"/><Relationship Id="rId49" Type="http://schemas.openxmlformats.org/officeDocument/2006/relationships/image" Target="media/image26.jpeg"/><Relationship Id="rId57" Type="http://schemas.openxmlformats.org/officeDocument/2006/relationships/image" Target="media/image32.jpeg"/><Relationship Id="rId10" Type="http://schemas.openxmlformats.org/officeDocument/2006/relationships/footer" Target="footer1.xml"/><Relationship Id="rId31" Type="http://schemas.openxmlformats.org/officeDocument/2006/relationships/header" Target="header7.xml"/><Relationship Id="rId44" Type="http://schemas.openxmlformats.org/officeDocument/2006/relationships/footer" Target="footer7.xml"/><Relationship Id="rId52" Type="http://schemas.openxmlformats.org/officeDocument/2006/relationships/footer" Target="footer8.xml"/><Relationship Id="rId60" Type="http://schemas.openxmlformats.org/officeDocument/2006/relationships/image" Target="media/image35.jpeg"/><Relationship Id="rId65" Type="http://schemas.openxmlformats.org/officeDocument/2006/relationships/footer" Target="footer9.xml"/><Relationship Id="rId73" Type="http://schemas.openxmlformats.org/officeDocument/2006/relationships/image" Target="media/image44.png"/><Relationship Id="rId78" Type="http://schemas.openxmlformats.org/officeDocument/2006/relationships/footer" Target="footer11.xml"/><Relationship Id="rId81" Type="http://schemas.openxmlformats.org/officeDocument/2006/relationships/footer" Target="footer12.xml"/><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oleObject" Target="embeddings/oleObject1.bin"/><Relationship Id="rId10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jpeg"/><Relationship Id="rId39" Type="http://schemas.openxmlformats.org/officeDocument/2006/relationships/image" Target="media/image18.jpeg"/></Relationships>
</file>

<file path=word/_rels/header14.xml.rels><?xml version="1.0" encoding="UTF-8" standalone="yes"?>
<Relationships xmlns="http://schemas.openxmlformats.org/package/2006/relationships"><Relationship Id="rId1" Type="http://schemas.openxmlformats.org/officeDocument/2006/relationships/image" Target="media/image21.png"/></Relationships>
</file>

<file path=word/_rels/header8.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E238BD-7602-4AF7-A4AF-0FE234809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65</Pages>
  <Words>24513</Words>
  <Characters>147081</Characters>
  <Application>Microsoft Office Word</Application>
  <DocSecurity>0</DocSecurity>
  <Lines>1225</Lines>
  <Paragraphs>342</Paragraphs>
  <ScaleCrop>false</ScaleCrop>
  <HeadingPairs>
    <vt:vector size="2" baseType="variant">
      <vt:variant>
        <vt:lpstr>Tytuł</vt:lpstr>
      </vt:variant>
      <vt:variant>
        <vt:i4>1</vt:i4>
      </vt:variant>
    </vt:vector>
  </HeadingPairs>
  <TitlesOfParts>
    <vt:vector size="1" baseType="lpstr">
      <vt:lpstr>STRATEGIA ROZWOJU WOJEWÓDZTWA DOLNOŚLĄSKIEGO 2030</vt:lpstr>
    </vt:vector>
  </TitlesOfParts>
  <Company>Urząd Marszałkowski Województwa Dolnośląskiego</Company>
  <LinksUpToDate>false</LinksUpToDate>
  <CharactersWithSpaces>171252</CharactersWithSpaces>
  <SharedDoc>false</SharedDoc>
  <HLinks>
    <vt:vector size="228" baseType="variant">
      <vt:variant>
        <vt:i4>1703988</vt:i4>
      </vt:variant>
      <vt:variant>
        <vt:i4>224</vt:i4>
      </vt:variant>
      <vt:variant>
        <vt:i4>0</vt:i4>
      </vt:variant>
      <vt:variant>
        <vt:i4>5</vt:i4>
      </vt:variant>
      <vt:variant>
        <vt:lpwstr/>
      </vt:variant>
      <vt:variant>
        <vt:lpwstr>_Toc505779332</vt:lpwstr>
      </vt:variant>
      <vt:variant>
        <vt:i4>1703988</vt:i4>
      </vt:variant>
      <vt:variant>
        <vt:i4>218</vt:i4>
      </vt:variant>
      <vt:variant>
        <vt:i4>0</vt:i4>
      </vt:variant>
      <vt:variant>
        <vt:i4>5</vt:i4>
      </vt:variant>
      <vt:variant>
        <vt:lpwstr/>
      </vt:variant>
      <vt:variant>
        <vt:lpwstr>_Toc505779331</vt:lpwstr>
      </vt:variant>
      <vt:variant>
        <vt:i4>1703988</vt:i4>
      </vt:variant>
      <vt:variant>
        <vt:i4>212</vt:i4>
      </vt:variant>
      <vt:variant>
        <vt:i4>0</vt:i4>
      </vt:variant>
      <vt:variant>
        <vt:i4>5</vt:i4>
      </vt:variant>
      <vt:variant>
        <vt:lpwstr/>
      </vt:variant>
      <vt:variant>
        <vt:lpwstr>_Toc505779330</vt:lpwstr>
      </vt:variant>
      <vt:variant>
        <vt:i4>1769524</vt:i4>
      </vt:variant>
      <vt:variant>
        <vt:i4>206</vt:i4>
      </vt:variant>
      <vt:variant>
        <vt:i4>0</vt:i4>
      </vt:variant>
      <vt:variant>
        <vt:i4>5</vt:i4>
      </vt:variant>
      <vt:variant>
        <vt:lpwstr/>
      </vt:variant>
      <vt:variant>
        <vt:lpwstr>_Toc505779329</vt:lpwstr>
      </vt:variant>
      <vt:variant>
        <vt:i4>1769524</vt:i4>
      </vt:variant>
      <vt:variant>
        <vt:i4>200</vt:i4>
      </vt:variant>
      <vt:variant>
        <vt:i4>0</vt:i4>
      </vt:variant>
      <vt:variant>
        <vt:i4>5</vt:i4>
      </vt:variant>
      <vt:variant>
        <vt:lpwstr/>
      </vt:variant>
      <vt:variant>
        <vt:lpwstr>_Toc505779328</vt:lpwstr>
      </vt:variant>
      <vt:variant>
        <vt:i4>1769524</vt:i4>
      </vt:variant>
      <vt:variant>
        <vt:i4>194</vt:i4>
      </vt:variant>
      <vt:variant>
        <vt:i4>0</vt:i4>
      </vt:variant>
      <vt:variant>
        <vt:i4>5</vt:i4>
      </vt:variant>
      <vt:variant>
        <vt:lpwstr/>
      </vt:variant>
      <vt:variant>
        <vt:lpwstr>_Toc505779327</vt:lpwstr>
      </vt:variant>
      <vt:variant>
        <vt:i4>1769524</vt:i4>
      </vt:variant>
      <vt:variant>
        <vt:i4>188</vt:i4>
      </vt:variant>
      <vt:variant>
        <vt:i4>0</vt:i4>
      </vt:variant>
      <vt:variant>
        <vt:i4>5</vt:i4>
      </vt:variant>
      <vt:variant>
        <vt:lpwstr/>
      </vt:variant>
      <vt:variant>
        <vt:lpwstr>_Toc505779326</vt:lpwstr>
      </vt:variant>
      <vt:variant>
        <vt:i4>1769524</vt:i4>
      </vt:variant>
      <vt:variant>
        <vt:i4>182</vt:i4>
      </vt:variant>
      <vt:variant>
        <vt:i4>0</vt:i4>
      </vt:variant>
      <vt:variant>
        <vt:i4>5</vt:i4>
      </vt:variant>
      <vt:variant>
        <vt:lpwstr/>
      </vt:variant>
      <vt:variant>
        <vt:lpwstr>_Toc505779325</vt:lpwstr>
      </vt:variant>
      <vt:variant>
        <vt:i4>1769524</vt:i4>
      </vt:variant>
      <vt:variant>
        <vt:i4>176</vt:i4>
      </vt:variant>
      <vt:variant>
        <vt:i4>0</vt:i4>
      </vt:variant>
      <vt:variant>
        <vt:i4>5</vt:i4>
      </vt:variant>
      <vt:variant>
        <vt:lpwstr/>
      </vt:variant>
      <vt:variant>
        <vt:lpwstr>_Toc505779324</vt:lpwstr>
      </vt:variant>
      <vt:variant>
        <vt:i4>1769524</vt:i4>
      </vt:variant>
      <vt:variant>
        <vt:i4>170</vt:i4>
      </vt:variant>
      <vt:variant>
        <vt:i4>0</vt:i4>
      </vt:variant>
      <vt:variant>
        <vt:i4>5</vt:i4>
      </vt:variant>
      <vt:variant>
        <vt:lpwstr/>
      </vt:variant>
      <vt:variant>
        <vt:lpwstr>_Toc505779323</vt:lpwstr>
      </vt:variant>
      <vt:variant>
        <vt:i4>1769524</vt:i4>
      </vt:variant>
      <vt:variant>
        <vt:i4>164</vt:i4>
      </vt:variant>
      <vt:variant>
        <vt:i4>0</vt:i4>
      </vt:variant>
      <vt:variant>
        <vt:i4>5</vt:i4>
      </vt:variant>
      <vt:variant>
        <vt:lpwstr/>
      </vt:variant>
      <vt:variant>
        <vt:lpwstr>_Toc505779322</vt:lpwstr>
      </vt:variant>
      <vt:variant>
        <vt:i4>1769524</vt:i4>
      </vt:variant>
      <vt:variant>
        <vt:i4>158</vt:i4>
      </vt:variant>
      <vt:variant>
        <vt:i4>0</vt:i4>
      </vt:variant>
      <vt:variant>
        <vt:i4>5</vt:i4>
      </vt:variant>
      <vt:variant>
        <vt:lpwstr/>
      </vt:variant>
      <vt:variant>
        <vt:lpwstr>_Toc505779321</vt:lpwstr>
      </vt:variant>
      <vt:variant>
        <vt:i4>1769524</vt:i4>
      </vt:variant>
      <vt:variant>
        <vt:i4>152</vt:i4>
      </vt:variant>
      <vt:variant>
        <vt:i4>0</vt:i4>
      </vt:variant>
      <vt:variant>
        <vt:i4>5</vt:i4>
      </vt:variant>
      <vt:variant>
        <vt:lpwstr/>
      </vt:variant>
      <vt:variant>
        <vt:lpwstr>_Toc505779320</vt:lpwstr>
      </vt:variant>
      <vt:variant>
        <vt:i4>1572916</vt:i4>
      </vt:variant>
      <vt:variant>
        <vt:i4>146</vt:i4>
      </vt:variant>
      <vt:variant>
        <vt:i4>0</vt:i4>
      </vt:variant>
      <vt:variant>
        <vt:i4>5</vt:i4>
      </vt:variant>
      <vt:variant>
        <vt:lpwstr/>
      </vt:variant>
      <vt:variant>
        <vt:lpwstr>_Toc505779319</vt:lpwstr>
      </vt:variant>
      <vt:variant>
        <vt:i4>1572916</vt:i4>
      </vt:variant>
      <vt:variant>
        <vt:i4>140</vt:i4>
      </vt:variant>
      <vt:variant>
        <vt:i4>0</vt:i4>
      </vt:variant>
      <vt:variant>
        <vt:i4>5</vt:i4>
      </vt:variant>
      <vt:variant>
        <vt:lpwstr/>
      </vt:variant>
      <vt:variant>
        <vt:lpwstr>_Toc505779318</vt:lpwstr>
      </vt:variant>
      <vt:variant>
        <vt:i4>1572916</vt:i4>
      </vt:variant>
      <vt:variant>
        <vt:i4>134</vt:i4>
      </vt:variant>
      <vt:variant>
        <vt:i4>0</vt:i4>
      </vt:variant>
      <vt:variant>
        <vt:i4>5</vt:i4>
      </vt:variant>
      <vt:variant>
        <vt:lpwstr/>
      </vt:variant>
      <vt:variant>
        <vt:lpwstr>_Toc505779317</vt:lpwstr>
      </vt:variant>
      <vt:variant>
        <vt:i4>1572916</vt:i4>
      </vt:variant>
      <vt:variant>
        <vt:i4>128</vt:i4>
      </vt:variant>
      <vt:variant>
        <vt:i4>0</vt:i4>
      </vt:variant>
      <vt:variant>
        <vt:i4>5</vt:i4>
      </vt:variant>
      <vt:variant>
        <vt:lpwstr/>
      </vt:variant>
      <vt:variant>
        <vt:lpwstr>_Toc505779316</vt:lpwstr>
      </vt:variant>
      <vt:variant>
        <vt:i4>1572916</vt:i4>
      </vt:variant>
      <vt:variant>
        <vt:i4>122</vt:i4>
      </vt:variant>
      <vt:variant>
        <vt:i4>0</vt:i4>
      </vt:variant>
      <vt:variant>
        <vt:i4>5</vt:i4>
      </vt:variant>
      <vt:variant>
        <vt:lpwstr/>
      </vt:variant>
      <vt:variant>
        <vt:lpwstr>_Toc505779315</vt:lpwstr>
      </vt:variant>
      <vt:variant>
        <vt:i4>1572916</vt:i4>
      </vt:variant>
      <vt:variant>
        <vt:i4>116</vt:i4>
      </vt:variant>
      <vt:variant>
        <vt:i4>0</vt:i4>
      </vt:variant>
      <vt:variant>
        <vt:i4>5</vt:i4>
      </vt:variant>
      <vt:variant>
        <vt:lpwstr/>
      </vt:variant>
      <vt:variant>
        <vt:lpwstr>_Toc505779314</vt:lpwstr>
      </vt:variant>
      <vt:variant>
        <vt:i4>1572916</vt:i4>
      </vt:variant>
      <vt:variant>
        <vt:i4>110</vt:i4>
      </vt:variant>
      <vt:variant>
        <vt:i4>0</vt:i4>
      </vt:variant>
      <vt:variant>
        <vt:i4>5</vt:i4>
      </vt:variant>
      <vt:variant>
        <vt:lpwstr/>
      </vt:variant>
      <vt:variant>
        <vt:lpwstr>_Toc505779313</vt:lpwstr>
      </vt:variant>
      <vt:variant>
        <vt:i4>1572916</vt:i4>
      </vt:variant>
      <vt:variant>
        <vt:i4>104</vt:i4>
      </vt:variant>
      <vt:variant>
        <vt:i4>0</vt:i4>
      </vt:variant>
      <vt:variant>
        <vt:i4>5</vt:i4>
      </vt:variant>
      <vt:variant>
        <vt:lpwstr/>
      </vt:variant>
      <vt:variant>
        <vt:lpwstr>_Toc505779312</vt:lpwstr>
      </vt:variant>
      <vt:variant>
        <vt:i4>1572916</vt:i4>
      </vt:variant>
      <vt:variant>
        <vt:i4>98</vt:i4>
      </vt:variant>
      <vt:variant>
        <vt:i4>0</vt:i4>
      </vt:variant>
      <vt:variant>
        <vt:i4>5</vt:i4>
      </vt:variant>
      <vt:variant>
        <vt:lpwstr/>
      </vt:variant>
      <vt:variant>
        <vt:lpwstr>_Toc505779311</vt:lpwstr>
      </vt:variant>
      <vt:variant>
        <vt:i4>1572916</vt:i4>
      </vt:variant>
      <vt:variant>
        <vt:i4>92</vt:i4>
      </vt:variant>
      <vt:variant>
        <vt:i4>0</vt:i4>
      </vt:variant>
      <vt:variant>
        <vt:i4>5</vt:i4>
      </vt:variant>
      <vt:variant>
        <vt:lpwstr/>
      </vt:variant>
      <vt:variant>
        <vt:lpwstr>_Toc505779310</vt:lpwstr>
      </vt:variant>
      <vt:variant>
        <vt:i4>1638452</vt:i4>
      </vt:variant>
      <vt:variant>
        <vt:i4>86</vt:i4>
      </vt:variant>
      <vt:variant>
        <vt:i4>0</vt:i4>
      </vt:variant>
      <vt:variant>
        <vt:i4>5</vt:i4>
      </vt:variant>
      <vt:variant>
        <vt:lpwstr/>
      </vt:variant>
      <vt:variant>
        <vt:lpwstr>_Toc505779309</vt:lpwstr>
      </vt:variant>
      <vt:variant>
        <vt:i4>1638452</vt:i4>
      </vt:variant>
      <vt:variant>
        <vt:i4>80</vt:i4>
      </vt:variant>
      <vt:variant>
        <vt:i4>0</vt:i4>
      </vt:variant>
      <vt:variant>
        <vt:i4>5</vt:i4>
      </vt:variant>
      <vt:variant>
        <vt:lpwstr/>
      </vt:variant>
      <vt:variant>
        <vt:lpwstr>_Toc505779308</vt:lpwstr>
      </vt:variant>
      <vt:variant>
        <vt:i4>1638452</vt:i4>
      </vt:variant>
      <vt:variant>
        <vt:i4>74</vt:i4>
      </vt:variant>
      <vt:variant>
        <vt:i4>0</vt:i4>
      </vt:variant>
      <vt:variant>
        <vt:i4>5</vt:i4>
      </vt:variant>
      <vt:variant>
        <vt:lpwstr/>
      </vt:variant>
      <vt:variant>
        <vt:lpwstr>_Toc505779307</vt:lpwstr>
      </vt:variant>
      <vt:variant>
        <vt:i4>1638452</vt:i4>
      </vt:variant>
      <vt:variant>
        <vt:i4>68</vt:i4>
      </vt:variant>
      <vt:variant>
        <vt:i4>0</vt:i4>
      </vt:variant>
      <vt:variant>
        <vt:i4>5</vt:i4>
      </vt:variant>
      <vt:variant>
        <vt:lpwstr/>
      </vt:variant>
      <vt:variant>
        <vt:lpwstr>_Toc505779306</vt:lpwstr>
      </vt:variant>
      <vt:variant>
        <vt:i4>1638452</vt:i4>
      </vt:variant>
      <vt:variant>
        <vt:i4>62</vt:i4>
      </vt:variant>
      <vt:variant>
        <vt:i4>0</vt:i4>
      </vt:variant>
      <vt:variant>
        <vt:i4>5</vt:i4>
      </vt:variant>
      <vt:variant>
        <vt:lpwstr/>
      </vt:variant>
      <vt:variant>
        <vt:lpwstr>_Toc505779305</vt:lpwstr>
      </vt:variant>
      <vt:variant>
        <vt:i4>1638452</vt:i4>
      </vt:variant>
      <vt:variant>
        <vt:i4>56</vt:i4>
      </vt:variant>
      <vt:variant>
        <vt:i4>0</vt:i4>
      </vt:variant>
      <vt:variant>
        <vt:i4>5</vt:i4>
      </vt:variant>
      <vt:variant>
        <vt:lpwstr/>
      </vt:variant>
      <vt:variant>
        <vt:lpwstr>_Toc505779304</vt:lpwstr>
      </vt:variant>
      <vt:variant>
        <vt:i4>1638452</vt:i4>
      </vt:variant>
      <vt:variant>
        <vt:i4>50</vt:i4>
      </vt:variant>
      <vt:variant>
        <vt:i4>0</vt:i4>
      </vt:variant>
      <vt:variant>
        <vt:i4>5</vt:i4>
      </vt:variant>
      <vt:variant>
        <vt:lpwstr/>
      </vt:variant>
      <vt:variant>
        <vt:lpwstr>_Toc505779303</vt:lpwstr>
      </vt:variant>
      <vt:variant>
        <vt:i4>1638452</vt:i4>
      </vt:variant>
      <vt:variant>
        <vt:i4>44</vt:i4>
      </vt:variant>
      <vt:variant>
        <vt:i4>0</vt:i4>
      </vt:variant>
      <vt:variant>
        <vt:i4>5</vt:i4>
      </vt:variant>
      <vt:variant>
        <vt:lpwstr/>
      </vt:variant>
      <vt:variant>
        <vt:lpwstr>_Toc505779302</vt:lpwstr>
      </vt:variant>
      <vt:variant>
        <vt:i4>1638452</vt:i4>
      </vt:variant>
      <vt:variant>
        <vt:i4>38</vt:i4>
      </vt:variant>
      <vt:variant>
        <vt:i4>0</vt:i4>
      </vt:variant>
      <vt:variant>
        <vt:i4>5</vt:i4>
      </vt:variant>
      <vt:variant>
        <vt:lpwstr/>
      </vt:variant>
      <vt:variant>
        <vt:lpwstr>_Toc505779301</vt:lpwstr>
      </vt:variant>
      <vt:variant>
        <vt:i4>1638452</vt:i4>
      </vt:variant>
      <vt:variant>
        <vt:i4>32</vt:i4>
      </vt:variant>
      <vt:variant>
        <vt:i4>0</vt:i4>
      </vt:variant>
      <vt:variant>
        <vt:i4>5</vt:i4>
      </vt:variant>
      <vt:variant>
        <vt:lpwstr/>
      </vt:variant>
      <vt:variant>
        <vt:lpwstr>_Toc505779300</vt:lpwstr>
      </vt:variant>
      <vt:variant>
        <vt:i4>1048629</vt:i4>
      </vt:variant>
      <vt:variant>
        <vt:i4>26</vt:i4>
      </vt:variant>
      <vt:variant>
        <vt:i4>0</vt:i4>
      </vt:variant>
      <vt:variant>
        <vt:i4>5</vt:i4>
      </vt:variant>
      <vt:variant>
        <vt:lpwstr/>
      </vt:variant>
      <vt:variant>
        <vt:lpwstr>_Toc505779299</vt:lpwstr>
      </vt:variant>
      <vt:variant>
        <vt:i4>1048629</vt:i4>
      </vt:variant>
      <vt:variant>
        <vt:i4>20</vt:i4>
      </vt:variant>
      <vt:variant>
        <vt:i4>0</vt:i4>
      </vt:variant>
      <vt:variant>
        <vt:i4>5</vt:i4>
      </vt:variant>
      <vt:variant>
        <vt:lpwstr/>
      </vt:variant>
      <vt:variant>
        <vt:lpwstr>_Toc505779298</vt:lpwstr>
      </vt:variant>
      <vt:variant>
        <vt:i4>1048629</vt:i4>
      </vt:variant>
      <vt:variant>
        <vt:i4>14</vt:i4>
      </vt:variant>
      <vt:variant>
        <vt:i4>0</vt:i4>
      </vt:variant>
      <vt:variant>
        <vt:i4>5</vt:i4>
      </vt:variant>
      <vt:variant>
        <vt:lpwstr/>
      </vt:variant>
      <vt:variant>
        <vt:lpwstr>_Toc505779297</vt:lpwstr>
      </vt:variant>
      <vt:variant>
        <vt:i4>1048629</vt:i4>
      </vt:variant>
      <vt:variant>
        <vt:i4>8</vt:i4>
      </vt:variant>
      <vt:variant>
        <vt:i4>0</vt:i4>
      </vt:variant>
      <vt:variant>
        <vt:i4>5</vt:i4>
      </vt:variant>
      <vt:variant>
        <vt:lpwstr/>
      </vt:variant>
      <vt:variant>
        <vt:lpwstr>_Toc505779296</vt:lpwstr>
      </vt:variant>
      <vt:variant>
        <vt:i4>1048629</vt:i4>
      </vt:variant>
      <vt:variant>
        <vt:i4>2</vt:i4>
      </vt:variant>
      <vt:variant>
        <vt:i4>0</vt:i4>
      </vt:variant>
      <vt:variant>
        <vt:i4>5</vt:i4>
      </vt:variant>
      <vt:variant>
        <vt:lpwstr/>
      </vt:variant>
      <vt:variant>
        <vt:lpwstr>_Toc505779295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WOJEWÓDZTWA DOLNOŚLĄSKIEGO 2030</dc:title>
  <dc:subject>Wersja robocza z dnia 6 grudnia 2017</dc:subject>
  <dc:creator>Karolina Drewnicka</dc:creator>
  <cp:lastModifiedBy>jgerman</cp:lastModifiedBy>
  <cp:revision>2</cp:revision>
  <cp:lastPrinted>2018-04-18T10:57:00Z</cp:lastPrinted>
  <dcterms:created xsi:type="dcterms:W3CDTF">2018-04-18T12:38:00Z</dcterms:created>
  <dcterms:modified xsi:type="dcterms:W3CDTF">2018-04-18T12:38:00Z</dcterms:modified>
</cp:coreProperties>
</file>